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7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3"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fiscal year ended March 30, 2019</w:t>
      </w:r>
    </w:p>
    <w:p>
      <w:pPr>
        <w:spacing w:after="0" w:line="40"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26"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21"/>
          <w:szCs w:val="21"/>
          <w:b w:val="1"/>
          <w:bCs w:val="1"/>
          <w:color w:val="auto"/>
        </w:rPr>
        <w:t>to</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jc w:val="center"/>
              <w:ind w:left="818"/>
              <w:spacing w:after="0"/>
              <w:rPr>
                <w:sz w:val="20"/>
                <w:szCs w:val="20"/>
                <w:color w:val="auto"/>
              </w:rPr>
            </w:pPr>
            <w:r>
              <w:rPr>
                <w:rFonts w:ascii="Arial" w:cs="Arial" w:eastAsia="Arial" w:hAnsi="Arial"/>
                <w:sz w:val="18"/>
                <w:szCs w:val="18"/>
                <w:b w:val="1"/>
                <w:bCs w:val="1"/>
                <w:color w:val="auto"/>
                <w:w w:val="86"/>
              </w:rPr>
              <w:t>Massachusetts</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60" w:type="dxa"/>
            <w:vAlign w:val="bottom"/>
          </w:tcPr>
          <w:p>
            <w:pPr>
              <w:jc w:val="right"/>
              <w:ind w:right="2300"/>
              <w:spacing w:after="0"/>
              <w:rPr>
                <w:sz w:val="20"/>
                <w:szCs w:val="20"/>
                <w:color w:val="auto"/>
              </w:rPr>
            </w:pPr>
            <w:r>
              <w:rPr>
                <w:rFonts w:ascii="Arial" w:cs="Arial" w:eastAsia="Arial" w:hAnsi="Arial"/>
                <w:sz w:val="18"/>
                <w:szCs w:val="18"/>
                <w:b w:val="1"/>
                <w:bCs w:val="1"/>
                <w:color w:val="auto"/>
              </w:rPr>
              <w:t>04-2882273</w:t>
            </w:r>
          </w:p>
        </w:tc>
      </w:tr>
      <w:tr>
        <w:trPr>
          <w:trHeight w:val="184"/>
        </w:trPr>
        <w:tc>
          <w:tcPr>
            <w:tcW w:w="4580" w:type="dxa"/>
            <w:vAlign w:val="bottom"/>
            <w:gridSpan w:val="2"/>
          </w:tcPr>
          <w:p>
            <w:pPr>
              <w:jc w:val="center"/>
              <w:ind w:left="818"/>
              <w:spacing w:after="0"/>
              <w:rPr>
                <w:sz w:val="20"/>
                <w:szCs w:val="20"/>
                <w:color w:val="auto"/>
              </w:rPr>
            </w:pPr>
            <w:r>
              <w:rPr>
                <w:rFonts w:ascii="Arial" w:cs="Arial" w:eastAsia="Arial" w:hAnsi="Arial"/>
                <w:sz w:val="14"/>
                <w:szCs w:val="14"/>
                <w:i w:val="1"/>
                <w:iCs w:val="1"/>
                <w:color w:val="auto"/>
                <w:w w:val="95"/>
              </w:rPr>
              <w:t>(State or other jurisdiction of</w:t>
            </w:r>
          </w:p>
        </w:tc>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60" w:type="dxa"/>
            <w:vAlign w:val="bottom"/>
          </w:tcPr>
          <w:p>
            <w:pPr>
              <w:jc w:val="center"/>
              <w:ind w:right="900"/>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4580" w:type="dxa"/>
            <w:vAlign w:val="bottom"/>
            <w:gridSpan w:val="2"/>
          </w:tcPr>
          <w:p>
            <w:pPr>
              <w:jc w:val="center"/>
              <w:ind w:left="798"/>
              <w:spacing w:after="0"/>
              <w:rPr>
                <w:sz w:val="20"/>
                <w:szCs w:val="20"/>
                <w:color w:val="auto"/>
              </w:rPr>
            </w:pPr>
            <w:r>
              <w:rPr>
                <w:rFonts w:ascii="Arial" w:cs="Arial" w:eastAsia="Arial" w:hAnsi="Arial"/>
                <w:sz w:val="14"/>
                <w:szCs w:val="14"/>
                <w:i w:val="1"/>
                <w:iCs w:val="1"/>
                <w:color w:val="auto"/>
                <w:w w:val="97"/>
              </w:rPr>
              <w:t>incorporation or organization)</w:t>
            </w:r>
          </w:p>
        </w:tc>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60" w:type="dxa"/>
            <w:vAlign w:val="bottom"/>
          </w:tcPr>
          <w:p>
            <w:pPr>
              <w:jc w:val="center"/>
              <w:ind w:right="880"/>
              <w:spacing w:after="0"/>
              <w:rPr>
                <w:sz w:val="20"/>
                <w:szCs w:val="20"/>
                <w:color w:val="auto"/>
              </w:rPr>
            </w:pPr>
            <w:r>
              <w:rPr>
                <w:rFonts w:ascii="Arial" w:cs="Arial" w:eastAsia="Arial" w:hAnsi="Arial"/>
                <w:sz w:val="14"/>
                <w:szCs w:val="14"/>
                <w:i w:val="1"/>
                <w:iCs w:val="1"/>
                <w:color w:val="auto"/>
                <w:w w:val="97"/>
              </w:rPr>
              <w:t>Identification No.)</w:t>
            </w:r>
          </w:p>
        </w:tc>
      </w:tr>
      <w:tr>
        <w:trPr>
          <w:trHeight w:val="358"/>
        </w:trPr>
        <w:tc>
          <w:tcPr>
            <w:tcW w:w="4580" w:type="dxa"/>
            <w:vAlign w:val="bottom"/>
            <w:gridSpan w:val="2"/>
          </w:tcPr>
          <w:p>
            <w:pPr>
              <w:jc w:val="center"/>
              <w:ind w:left="798"/>
              <w:spacing w:after="0"/>
              <w:rPr>
                <w:sz w:val="20"/>
                <w:szCs w:val="20"/>
                <w:color w:val="auto"/>
              </w:rPr>
            </w:pPr>
            <w:r>
              <w:rPr>
                <w:rFonts w:ascii="Arial" w:cs="Arial" w:eastAsia="Arial" w:hAnsi="Arial"/>
                <w:sz w:val="18"/>
                <w:szCs w:val="18"/>
                <w:b w:val="1"/>
                <w:bCs w:val="1"/>
                <w:color w:val="auto"/>
                <w:w w:val="89"/>
              </w:rPr>
              <w:t>400 Wood Road,</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tcPr>
          <w:p>
            <w:pPr>
              <w:jc w:val="right"/>
              <w:ind w:right="2180"/>
              <w:spacing w:after="0"/>
              <w:rPr>
                <w:sz w:val="20"/>
                <w:szCs w:val="20"/>
                <w:color w:val="auto"/>
              </w:rPr>
            </w:pPr>
            <w:r>
              <w:rPr>
                <w:rFonts w:ascii="Arial" w:cs="Arial" w:eastAsia="Arial" w:hAnsi="Arial"/>
                <w:sz w:val="18"/>
                <w:szCs w:val="18"/>
                <w:b w:val="1"/>
                <w:bCs w:val="1"/>
                <w:color w:val="auto"/>
              </w:rPr>
              <w:t>(781) 848-7100</w:t>
            </w:r>
          </w:p>
        </w:tc>
      </w:tr>
      <w:tr>
        <w:trPr>
          <w:trHeight w:val="234"/>
        </w:trPr>
        <w:tc>
          <w:tcPr>
            <w:tcW w:w="4580" w:type="dxa"/>
            <w:vAlign w:val="bottom"/>
            <w:gridSpan w:val="2"/>
          </w:tcPr>
          <w:p>
            <w:pPr>
              <w:jc w:val="center"/>
              <w:ind w:left="818"/>
              <w:spacing w:after="0"/>
              <w:rPr>
                <w:sz w:val="20"/>
                <w:szCs w:val="20"/>
                <w:color w:val="auto"/>
              </w:rPr>
            </w:pPr>
            <w:r>
              <w:rPr>
                <w:rFonts w:ascii="Arial" w:cs="Arial" w:eastAsia="Arial" w:hAnsi="Arial"/>
                <w:sz w:val="18"/>
                <w:szCs w:val="18"/>
                <w:b w:val="1"/>
                <w:bCs w:val="1"/>
                <w:color w:val="auto"/>
                <w:w w:val="88"/>
              </w:rPr>
              <w:t>Braintree, Massachusetts 02184-9114</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60" w:type="dxa"/>
            <w:vAlign w:val="bottom"/>
          </w:tcPr>
          <w:p>
            <w:pPr>
              <w:jc w:val="center"/>
              <w:ind w:right="840"/>
              <w:spacing w:after="0"/>
              <w:rPr>
                <w:sz w:val="20"/>
                <w:szCs w:val="20"/>
                <w:color w:val="auto"/>
              </w:rPr>
            </w:pPr>
            <w:r>
              <w:rPr>
                <w:rFonts w:ascii="Arial" w:cs="Arial" w:eastAsia="Arial" w:hAnsi="Arial"/>
                <w:sz w:val="14"/>
                <w:szCs w:val="14"/>
                <w:i w:val="1"/>
                <w:iCs w:val="1"/>
                <w:color w:val="auto"/>
                <w:w w:val="92"/>
              </w:rPr>
              <w:t>(Registrant’s telephone number)</w:t>
            </w:r>
          </w:p>
        </w:tc>
      </w:tr>
      <w:tr>
        <w:trPr>
          <w:trHeight w:val="204"/>
        </w:trPr>
        <w:tc>
          <w:tcPr>
            <w:tcW w:w="4580" w:type="dxa"/>
            <w:vAlign w:val="bottom"/>
            <w:gridSpan w:val="2"/>
          </w:tcPr>
          <w:p>
            <w:pPr>
              <w:ind w:left="1640"/>
              <w:spacing w:after="0"/>
              <w:rPr>
                <w:sz w:val="20"/>
                <w:szCs w:val="20"/>
                <w:color w:val="auto"/>
              </w:rPr>
            </w:pPr>
            <w:r>
              <w:rPr>
                <w:rFonts w:ascii="Arial" w:cs="Arial" w:eastAsia="Arial" w:hAnsi="Arial"/>
                <w:sz w:val="14"/>
                <w:szCs w:val="14"/>
                <w:i w:val="1"/>
                <w:iCs w:val="1"/>
                <w:color w:val="auto"/>
              </w:rPr>
              <w:t>(Address of principal executive offices)</w:t>
            </w: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309"/>
        </w:trPr>
        <w:tc>
          <w:tcPr>
            <w:tcW w:w="114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99"/>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6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340" w:type="dxa"/>
            <w:vAlign w:val="bottom"/>
          </w:tcPr>
          <w:p>
            <w:pPr>
              <w:spacing w:after="0"/>
              <w:rPr>
                <w:sz w:val="24"/>
                <w:szCs w:val="24"/>
                <w:color w:val="auto"/>
              </w:rPr>
            </w:pP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43"/>
        </w:trPr>
        <w:tc>
          <w:tcPr>
            <w:tcW w:w="45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Common stock, $.01 par value per share</w:t>
            </w:r>
          </w:p>
        </w:tc>
        <w:tc>
          <w:tcPr>
            <w:tcW w:w="216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HAE</w:t>
            </w:r>
          </w:p>
        </w:tc>
        <w:tc>
          <w:tcPr>
            <w:tcW w:w="46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56"/>
        </w:trPr>
        <w:tc>
          <w:tcPr>
            <w:tcW w:w="11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r>
      <w:tr>
        <w:trPr>
          <w:trHeight w:val="210"/>
        </w:trPr>
        <w:tc>
          <w:tcPr>
            <w:tcW w:w="4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w w:val="89"/>
              </w:rPr>
              <w:t>None</w:t>
            </w:r>
          </w:p>
        </w:tc>
        <w:tc>
          <w:tcPr>
            <w:tcW w:w="4660" w:type="dxa"/>
            <w:vAlign w:val="bottom"/>
          </w:tcPr>
          <w:p>
            <w:pPr>
              <w:spacing w:after="0"/>
              <w:rPr>
                <w:sz w:val="18"/>
                <w:szCs w:val="18"/>
                <w:color w:val="auto"/>
              </w:rPr>
            </w:pPr>
          </w:p>
        </w:tc>
      </w:tr>
    </w:tbl>
    <w:p>
      <w:pPr>
        <w:spacing w:after="0" w:line="1" w:lineRule="exact"/>
        <w:rPr>
          <w:sz w:val="24"/>
          <w:szCs w:val="24"/>
          <w:color w:val="auto"/>
        </w:rPr>
      </w:pPr>
    </w:p>
    <w:p>
      <w:pPr>
        <w:sectPr>
          <w:pgSz w:w="11900" w:h="16838" w:orient="portrait"/>
          <w:cols w:equalWidth="0" w:num="1">
            <w:col w:w="11400"/>
          </w:cols>
          <w:pgMar w:left="240" w:top="225" w:right="259" w:bottom="1440" w:gutter="0" w:footer="0" w:header="0"/>
        </w:sectPr>
      </w:pPr>
    </w:p>
    <w:p>
      <w:pPr>
        <w:spacing w:after="0" w:line="9" w:lineRule="exact"/>
        <w:rPr>
          <w:sz w:val="24"/>
          <w:szCs w:val="24"/>
          <w:color w:val="auto"/>
        </w:rPr>
      </w:pPr>
    </w:p>
    <w:p>
      <w:pPr>
        <w:ind w:left="340"/>
        <w:spacing w:after="0" w:line="328" w:lineRule="auto"/>
        <w:rPr>
          <w:sz w:val="20"/>
          <w:szCs w:val="20"/>
          <w:color w:val="auto"/>
        </w:rPr>
      </w:pPr>
      <w:r>
        <w:rPr>
          <w:rFonts w:ascii="Arial" w:cs="Arial" w:eastAsia="Arial" w:hAnsi="Arial"/>
          <w:sz w:val="14"/>
          <w:szCs w:val="14"/>
          <w:color w:val="auto"/>
        </w:rPr>
        <w:t>Indicate by check mark whether the registrant is a well-known seasoned issuer, as defined in Rule 405 of the Securities Act. Indicate by check mark whether the registrant is not required to file reports pursuant to Section 13 or 15(d) of the Act. Yes o</w:t>
      </w:r>
    </w:p>
    <w:p>
      <w:pPr>
        <w:spacing w:after="0" w:line="20" w:lineRule="exact"/>
        <w:rPr>
          <w:sz w:val="24"/>
          <w:szCs w:val="24"/>
          <w:color w:val="auto"/>
        </w:rPr>
      </w:pPr>
      <w:r>
        <w:rPr>
          <w:sz w:val="24"/>
          <w:szCs w:val="24"/>
          <w:color w:val="auto"/>
        </w:rPr>
        <w:br w:type="column"/>
      </w:r>
    </w:p>
    <w:p>
      <w:pPr>
        <w:spacing w:after="0" w:line="163"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50" w:lineRule="exact"/>
        <w:rPr>
          <w:sz w:val="24"/>
          <w:szCs w:val="24"/>
          <w:color w:val="auto"/>
        </w:rPr>
      </w:pPr>
    </w:p>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 o</w:t>
      </w:r>
    </w:p>
    <w:p>
      <w:pPr>
        <w:spacing w:after="0" w:line="268" w:lineRule="exact"/>
        <w:rPr>
          <w:sz w:val="24"/>
          <w:szCs w:val="24"/>
          <w:color w:val="auto"/>
        </w:rPr>
      </w:pPr>
    </w:p>
    <w:p>
      <w:pPr>
        <w:sectPr>
          <w:pgSz w:w="11900" w:h="16838" w:orient="portrait"/>
          <w:cols w:equalWidth="0" w:num="3">
            <w:col w:w="8420" w:space="20"/>
            <w:col w:w="560" w:space="80"/>
            <w:col w:w="2320"/>
          </w:cols>
          <w:pgMar w:left="240" w:top="225" w:right="259" w:bottom="1440" w:gutter="0" w:footer="0" w:header="0"/>
          <w:type w:val="continuous"/>
        </w:sectPr>
      </w:pPr>
    </w:p>
    <w:p>
      <w:pPr>
        <w:ind w:right="380" w:firstLine="324"/>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 w:lineRule="exact"/>
        <w:rPr>
          <w:sz w:val="24"/>
          <w:szCs w:val="24"/>
          <w:color w:val="auto"/>
        </w:rPr>
      </w:pPr>
    </w:p>
    <w:p>
      <w:pPr>
        <w:ind w:right="240" w:firstLine="324"/>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6" w:lineRule="exact"/>
        <w:rPr>
          <w:sz w:val="24"/>
          <w:szCs w:val="24"/>
          <w:color w:val="auto"/>
        </w:rPr>
      </w:pPr>
    </w:p>
    <w:p>
      <w:pPr>
        <w:ind w:right="200" w:firstLine="324"/>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225" w:right="259" w:bottom="1440" w:gutter="0" w:footer="0" w:header="0"/>
          <w:type w:val="continuous"/>
        </w:sectPr>
      </w:pPr>
    </w:p>
    <w:p>
      <w:pPr>
        <w:spacing w:after="0" w:line="100"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98" w:lineRule="exact"/>
        <w:rPr>
          <w:sz w:val="24"/>
          <w:szCs w:val="24"/>
          <w:color w:val="auto"/>
        </w:rPr>
      </w:pPr>
    </w:p>
    <w:p>
      <w:pPr>
        <w:sectPr>
          <w:pgSz w:w="11900" w:h="16838" w:orient="portrait"/>
          <w:cols w:equalWidth="0" w:num="2">
            <w:col w:w="7920" w:space="720"/>
            <w:col w:w="2760"/>
          </w:cols>
          <w:pgMar w:left="240" w:top="225"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o</w:t>
      </w:r>
    </w:p>
    <w:p>
      <w:pPr>
        <w:spacing w:after="0" w:line="86" w:lineRule="exact"/>
        <w:rPr>
          <w:sz w:val="24"/>
          <w:szCs w:val="24"/>
          <w:color w:val="auto"/>
        </w:rPr>
      </w:pPr>
    </w:p>
    <w:p>
      <w:pPr>
        <w:ind w:left="8000"/>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ind w:left="800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00"/>
          </w:cols>
          <w:pgMar w:left="240" w:top="225" w:right="259" w:bottom="1440" w:gutter="0" w:footer="0" w:header="0"/>
          <w:type w:val="continuous"/>
        </w:sectPr>
      </w:pPr>
    </w:p>
    <w:p>
      <w:pPr>
        <w:spacing w:after="0" w:line="82" w:lineRule="exact"/>
        <w:rPr>
          <w:sz w:val="24"/>
          <w:szCs w:val="24"/>
          <w:color w:val="auto"/>
        </w:rPr>
      </w:pPr>
    </w:p>
    <w:p>
      <w:pPr>
        <w:ind w:right="14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340"/>
        <w:spacing w:after="0" w:line="173" w:lineRule="exact"/>
        <w:tabs>
          <w:tab w:leader="none" w:pos="83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tab/>
        <w:t xml:space="preserve">No </w:t>
      </w:r>
      <w:r>
        <w:rPr>
          <w:rFonts w:ascii="MS PGothic" w:cs="MS PGothic" w:eastAsia="MS PGothic" w:hAnsi="MS PGothic"/>
          <w:sz w:val="15"/>
          <w:szCs w:val="15"/>
          <w:color w:val="auto"/>
        </w:rPr>
        <w:t>☑</w:t>
      </w:r>
    </w:p>
    <w:p>
      <w:pPr>
        <w:spacing w:after="0" w:line="75" w:lineRule="exact"/>
        <w:rPr>
          <w:sz w:val="24"/>
          <w:szCs w:val="24"/>
          <w:color w:val="auto"/>
        </w:rPr>
      </w:pPr>
    </w:p>
    <w:p>
      <w:pPr>
        <w:ind w:right="220" w:firstLine="324"/>
        <w:spacing w:after="0" w:line="271"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(assuming for these purposes that all executive officers and directors are “affiliates” of the registrant) as of September 29, 2018, the last business day of the registrant’s most recently completed second fiscal quarter was $5,887,313,926 (based on the closing sale price of the registrant’s common stock on that date as reported on the New York Stock Exchange).</w:t>
      </w:r>
    </w:p>
    <w:p>
      <w:pPr>
        <w:spacing w:after="0" w:line="2" w:lineRule="exact"/>
        <w:rPr>
          <w:sz w:val="24"/>
          <w:szCs w:val="24"/>
          <w:color w:val="auto"/>
        </w:rPr>
      </w:pPr>
    </w:p>
    <w:p>
      <w:pPr>
        <w:jc w:val="center"/>
        <w:ind w:right="3920"/>
        <w:spacing w:after="0"/>
        <w:rPr>
          <w:sz w:val="20"/>
          <w:szCs w:val="20"/>
          <w:color w:val="auto"/>
        </w:rPr>
      </w:pPr>
      <w:r>
        <w:rPr>
          <w:rFonts w:ascii="Arial" w:cs="Arial" w:eastAsia="Arial" w:hAnsi="Arial"/>
          <w:sz w:val="16"/>
          <w:szCs w:val="16"/>
          <w:color w:val="auto"/>
        </w:rPr>
        <w:t>The number of shares of $0.01 par value common stock outstanding as of May 20, 2019 was 51,205,703.</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15"/>
          <w:szCs w:val="15"/>
          <w:color w:val="auto"/>
        </w:rPr>
        <w:t>Portions of the definitive proxy statement for our Annual Meeting of Shareholders to be held on July 25, 2019 are incorporated by reference in Part III of this report.</w:t>
      </w:r>
    </w:p>
    <w:p>
      <w:pPr>
        <w:sectPr>
          <w:pgSz w:w="11900" w:h="16838" w:orient="portrait"/>
          <w:cols w:equalWidth="0" w:num="1">
            <w:col w:w="11400"/>
          </w:cols>
          <w:pgMar w:left="240" w:top="22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8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04"/>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192"/>
        </w:trPr>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Number</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420" w:type="dxa"/>
            <w:vAlign w:val="bottom"/>
            <w:gridSpan w:val="18"/>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gridSpan w:val="4"/>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1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42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7380" w:type="dxa"/>
            <w:vAlign w:val="bottom"/>
            <w:gridSpan w:val="10"/>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Legal Proceedings</w:t>
              </w:r>
            </w:hyperlink>
          </w:p>
        </w:tc>
        <w:tc>
          <w:tcPr>
            <w:tcW w:w="8100" w:type="dxa"/>
            <w:vAlign w:val="bottom"/>
            <w:gridSpan w:val="14"/>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7640" w:type="dxa"/>
            <w:vAlign w:val="bottom"/>
            <w:gridSpan w:val="1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Market for the Registrant’s Common Equity, Related Stockholder Matters and Issuer Purchases of Equity Securities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1700" w:type="dxa"/>
            <w:vAlign w:val="bottom"/>
            <w:gridSpan w:val="5"/>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Selected Financial Data</w:t>
              </w:r>
            </w:hyperlink>
          </w:p>
        </w:tc>
        <w:tc>
          <w:tcPr>
            <w:tcW w:w="6640" w:type="dxa"/>
            <w:vAlign w:val="bottom"/>
            <w:gridSpan w:val="12"/>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42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4320" w:type="dxa"/>
            <w:vAlign w:val="bottom"/>
            <w:gridSpan w:val="11"/>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1"/>
                <w:szCs w:val="21"/>
                <w:color w:val="auto"/>
              </w:rPr>
            </w:pPr>
          </w:p>
        </w:tc>
        <w:tc>
          <w:tcPr>
            <w:tcW w:w="296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0"/>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Financial Statements and Supplementary Data</w:t>
              </w:r>
            </w:hyperlink>
          </w:p>
        </w:tc>
        <w:tc>
          <w:tcPr>
            <w:tcW w:w="980" w:type="dxa"/>
            <w:vAlign w:val="bottom"/>
          </w:tcPr>
          <w:p>
            <w:pPr>
              <w:spacing w:after="0"/>
              <w:rPr>
                <w:sz w:val="21"/>
                <w:szCs w:val="21"/>
                <w:color w:val="auto"/>
              </w:rPr>
            </w:pPr>
          </w:p>
        </w:tc>
        <w:tc>
          <w:tcPr>
            <w:tcW w:w="5100" w:type="dxa"/>
            <w:vAlign w:val="bottom"/>
            <w:gridSpan w:val="7"/>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420" w:type="dxa"/>
            <w:vAlign w:val="bottom"/>
            <w:gridSpan w:val="1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Control and Procedures</w:t>
              </w:r>
            </w:hyperlink>
          </w:p>
        </w:tc>
        <w:tc>
          <w:tcPr>
            <w:tcW w:w="294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86</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Other Information</w:t>
              </w:r>
            </w:hyperlink>
          </w:p>
        </w:tc>
        <w:tc>
          <w:tcPr>
            <w:tcW w:w="380" w:type="dxa"/>
            <w:vAlign w:val="bottom"/>
          </w:tcPr>
          <w:p>
            <w:pPr>
              <w:spacing w:after="0"/>
              <w:rPr>
                <w:sz w:val="21"/>
                <w:szCs w:val="21"/>
                <w:color w:val="auto"/>
              </w:rPr>
            </w:pPr>
          </w:p>
        </w:tc>
        <w:tc>
          <w:tcPr>
            <w:tcW w:w="7720" w:type="dxa"/>
            <w:vAlign w:val="bottom"/>
            <w:gridSpan w:val="1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9420" w:type="dxa"/>
            <w:vAlign w:val="bottom"/>
            <w:gridSpan w:val="1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Directors and Executive Officers of the Registrant and Corporate Governance</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5600" w:type="dxa"/>
            <w:vAlign w:val="bottom"/>
            <w:gridSpan w:val="1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Executive Compensation</w:t>
              </w:r>
            </w:hyperlink>
          </w:p>
        </w:tc>
        <w:tc>
          <w:tcPr>
            <w:tcW w:w="3820" w:type="dxa"/>
            <w:vAlign w:val="bottom"/>
            <w:gridSpan w:val="5"/>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6"/>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Security Ownership of Certain Beneficial Owners and Management and Related Stockholder Matters</w:t>
              </w:r>
            </w:hyperlink>
          </w:p>
        </w:tc>
        <w:tc>
          <w:tcPr>
            <w:tcW w:w="212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16"/>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Transactions and Director Independence</w:t>
              </w:r>
            </w:hyperlink>
          </w:p>
        </w:tc>
        <w:tc>
          <w:tcPr>
            <w:tcW w:w="212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2880" w:type="dxa"/>
            <w:vAlign w:val="bottom"/>
            <w:gridSpan w:val="9"/>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Principal Accounting Fees and Services</w:t>
              </w:r>
            </w:hyperlink>
          </w:p>
        </w:tc>
        <w:tc>
          <w:tcPr>
            <w:tcW w:w="2520" w:type="dxa"/>
            <w:vAlign w:val="bottom"/>
            <w:gridSpan w:val="3"/>
          </w:tcPr>
          <w:p>
            <w:pPr>
              <w:spacing w:after="0"/>
              <w:rPr>
                <w:sz w:val="21"/>
                <w:szCs w:val="21"/>
                <w:color w:val="auto"/>
              </w:rPr>
            </w:pPr>
          </w:p>
        </w:tc>
        <w:tc>
          <w:tcPr>
            <w:tcW w:w="402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88</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9420" w:type="dxa"/>
            <w:vAlign w:val="bottom"/>
            <w:gridSpan w:val="1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Exhibits, Financial Statement Schedules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60"/>
          </w:cols>
          <w:pgMar w:left="280" w:top="688"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Overview</w:t>
      </w:r>
    </w:p>
    <w:p>
      <w:pPr>
        <w:spacing w:after="0" w:line="225"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blood and plasma component collection, the surgical suite, and hospital transfusion services. When used in this report, the terms “we,” “us,” “our” and “the Company” mean Haemonetics.</w:t>
      </w:r>
    </w:p>
    <w:p>
      <w:pPr>
        <w:spacing w:after="0" w:line="1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Blood is essential to a modern healthcare system. 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Haemonetics develops and markets a wide range of devices and solutions to serve our customers. We provide plasma collection systems and software that enable the collection of plasma used by biopharmaceutical companies to make life saving pharmaceuticals and also provides analytical devices for measuring hemostasis that enable healthcare providers to better manage their patients’ bleeding risk. In addition, Haemonetics makes blood processing systems and software that make blood donation more efficient and track life giving blood components. Finally, Haemonetics supplies systems and software that facilitate blood transfusions and cell processing.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and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Lines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products are organized in three categories for purposes of evaluating and developing their growth potential: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“Hospital”, which is comprised of Hemostasis Management and Cell Processing products, includes devices and methodologies for measuring coagulation characteristics of blood, surgical blood salvage systems, specialized blood cell processing systems, disposables and blood transfusion management software.</w:t>
      </w:r>
    </w:p>
    <w:p>
      <w:pPr>
        <w:spacing w:after="0" w:line="19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which require us to manage the business differently, including reducing costs, shrinking the scope of the current product line, and evaluating opportunities to exit unfavorable customer contracts.</w:t>
      </w:r>
    </w:p>
    <w:p>
      <w:pPr>
        <w:spacing w:after="0" w:line="24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Plasma</w:t>
      </w:r>
    </w:p>
    <w:p>
      <w:pPr>
        <w:spacing w:after="0" w:line="229"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Our Plasma business offers automated plasma collection and donor management software systems that improve the plasma centers’ yield, efficiency, quality, safety and overall plasma donor experience. We continue to invest in technology that lowers the overall cost to collect plasma while maintaining high standards of quality and safety.</w:t>
      </w:r>
    </w:p>
    <w:p>
      <w:pPr>
        <w:spacing w:after="0" w:line="86" w:lineRule="exact"/>
        <w:rPr>
          <w:rFonts w:ascii="Arial" w:cs="Arial" w:eastAsia="Arial" w:hAnsi="Arial"/>
          <w:sz w:val="18"/>
          <w:szCs w:val="18"/>
          <w:b w:val="1"/>
          <w:bCs w:val="1"/>
          <w:color w:val="auto"/>
        </w:rPr>
      </w:pPr>
    </w:p>
    <w:p>
      <w:pPr>
        <w:jc w:val="both"/>
        <w:ind w:left="660" w:right="50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Plasma Collection Market for Fractionation </w:t>
      </w:r>
      <w:r>
        <w:rPr>
          <w:rFonts w:ascii="Arial" w:cs="Arial" w:eastAsia="Arial" w:hAnsi="Arial"/>
          <w:sz w:val="18"/>
          <w:szCs w:val="18"/>
          <w:color w:val="auto"/>
        </w:rPr>
        <w:t>— Human plasma is collected for two purposes. First, it is used for transfusions in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extreme blood loss, such as trauma victims, and second, it is processed into pharmaceuticals that aid in the treatment of immune diseases and coagulation disorders.</w:t>
      </w:r>
    </w:p>
    <w:p>
      <w:pPr>
        <w:spacing w:after="0" w:line="181" w:lineRule="exact"/>
        <w:rPr>
          <w:rFonts w:ascii="Arial" w:cs="Arial" w:eastAsia="Arial" w:hAnsi="Arial"/>
          <w:sz w:val="18"/>
          <w:szCs w:val="18"/>
          <w:b w:val="1"/>
          <w:bCs w:val="1"/>
          <w:color w:val="auto"/>
        </w:rPr>
      </w:pPr>
    </w:p>
    <w:p>
      <w:pPr>
        <w:ind w:left="66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Plasma for transfusion is almost exclusively collected by blood centers as part of their broader mission to supply blood components. Plasma that is fractionated and manufactured into pharmaceuticals - frequently referred to as source plasma - is mainly collected by vertically integrated biopharmaceutical companies who operate their own collection centers and recruit donors specifically for source plasma donation. The markets for transfusion plasma and source plasma have different participants, product requirements and growth profiles. We serve the market for transfusion plasma through our Blood Center products.</w:t>
      </w:r>
    </w:p>
    <w:p>
      <w:pPr>
        <w:spacing w:after="0" w:line="188" w:lineRule="exact"/>
        <w:rPr>
          <w:rFonts w:ascii="Arial" w:cs="Arial" w:eastAsia="Arial" w:hAnsi="Arial"/>
          <w:sz w:val="18"/>
          <w:szCs w:val="18"/>
          <w:b w:val="1"/>
          <w:bCs w:val="1"/>
          <w:color w:val="auto"/>
        </w:rPr>
      </w:pPr>
    </w:p>
    <w:p>
      <w:pPr>
        <w:ind w:left="6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One of the distinguishing features of the source plasma market is the method of collection. There are three primary ways to collect plasma. The first is to collect it from whole blood donations. When whole blood is processed, plasma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30" w:right="2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line="340" w:lineRule="auto"/>
        <w:rPr>
          <w:sz w:val="20"/>
          <w:szCs w:val="20"/>
          <w:color w:val="auto"/>
        </w:rPr>
      </w:pPr>
      <w:r>
        <w:rPr>
          <w:rFonts w:ascii="Arial" w:cs="Arial" w:eastAsia="Arial" w:hAnsi="Arial"/>
          <w:sz w:val="15"/>
          <w:szCs w:val="15"/>
          <w:color w:val="auto"/>
        </w:rPr>
        <w:t>can be separated at the same time as red cells and platelets and stored for future use. The second is as part of an apheresis procedure that also collects another blood component. These two methods are mainly used by blood centers to collect plasma for transfusions. The third method is a dedicated apheresis procedure that only collects plasma and returns the other blood components to the donor. This method is mainly used for source plasma.</w:t>
      </w:r>
    </w:p>
    <w:p>
      <w:pPr>
        <w:spacing w:after="0" w:line="13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Our Plasma business unit focuses on the collection of plasma for pharmaceutical production using apheresis devices that collect plasma and software solutions that support the efficient operation of source plasma collection centers. Our Blood Center business unit supports the collection of plasma for transfusion using both whole blood and multi-component apheresis collection devices and software solutions that support efficient operation of these types of centers.</w:t>
      </w:r>
    </w:p>
    <w:p>
      <w:pPr>
        <w:spacing w:after="0" w:line="18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Over the last 20 years, the collection of source plasma has increasingly been done by vertically integrated biopharmaceutical companies such as CSL Behring, Grifols S.A. ("Grifols"), Octapharma AG and Takeda's BioLife business. With their global operations and management expertise, these companies are focused on efficient plasma supply chain management and leveraging information technology to manage operations from the point of plasma donation to fractionation to the production of the final product.</w:t>
      </w:r>
    </w:p>
    <w:p>
      <w:pPr>
        <w:spacing w:after="0" w:line="187"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Demand for source plasma has continued to grow as an expanding end user market for plasma-derived biopharmaceuticals - in particular, therapies that require a significant quantity of plasma to create - has fueled an increase in the number of donations and dedicated collection centers. A significant portion of this growth has occurred in the United States with U.S. produced plasma now meeting an increasing percentage of plasma volume demand worldwide. The U.S. has regulations that are significantly favorable relative to other markets for plasma collectors. The frequency with which a donor may donate, the volume of plasma that may be donated each time and the ability to remunerate donors are all optimal in the U.S., leading to approximately 80% of worldwide source plasma collections occurring in the U.S. Plasma collectors have long sought changes to plasma collection regulations outside of the U.S. to allow for greater frequency, volume per donation and remuneration but achievements have been meager and slow and no changes are foreseen in the prevalence of U.S. collections.</w:t>
      </w:r>
    </w:p>
    <w:p>
      <w:pPr>
        <w:spacing w:after="0" w:line="84"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b w:val="1"/>
          <w:bCs w:val="1"/>
          <w:i w:val="1"/>
          <w:iCs w:val="1"/>
          <w:color w:val="auto"/>
        </w:rPr>
        <w:t xml:space="preserve">Plasma Products </w:t>
      </w:r>
      <w:r>
        <w:rPr>
          <w:rFonts w:ascii="Arial" w:cs="Arial" w:eastAsia="Arial" w:hAnsi="Arial"/>
          <w:sz w:val="18"/>
          <w:szCs w:val="18"/>
          <w:color w:val="auto"/>
        </w:rPr>
        <w:t>— Built around our automated plasma collection devices, related disposables and software, our portfolio of products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designed to support multiple facets of plasma collector operations. We have a long-standing commitment to understanding our customers' collection and manufacturing processes. As a result, we aim to design equipment that is durable, dependable and easy to use and to provide comprehensive training and support to our plasma collection customers.</w:t>
      </w:r>
    </w:p>
    <w:p>
      <w:pPr>
        <w:spacing w:after="0" w:line="187" w:lineRule="exact"/>
        <w:rPr>
          <w:sz w:val="20"/>
          <w:szCs w:val="20"/>
          <w:color w:val="auto"/>
        </w:rPr>
      </w:pPr>
    </w:p>
    <w:p>
      <w:pPr>
        <w:ind w:left="660" w:right="120"/>
        <w:spacing w:after="0" w:line="262" w:lineRule="auto"/>
        <w:rPr>
          <w:sz w:val="20"/>
          <w:szCs w:val="20"/>
          <w:color w:val="auto"/>
        </w:rPr>
      </w:pPr>
      <w:r>
        <w:rPr>
          <w:rFonts w:ascii="Arial" w:cs="Arial" w:eastAsia="Arial" w:hAnsi="Arial"/>
          <w:sz w:val="16"/>
          <w:szCs w:val="16"/>
          <w:color w:val="auto"/>
        </w:rPr>
        <w:t>Today, the vast majority of plasma collections worldwide are performed using automated collection technology at dedicated facilities. We offer multiple products to support these dedicated source plasma operations, including our NexSys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PCS2</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plasmapheresis equipment and related disposables including plasma collection containers and intravenous solutions. We also offer a portfolio of integrated information technology platforms for plasma customers to manage their donors, operations and supply chain. Our software products, including our latest NexLynk DMS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donor management system,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ensure quality and compliance business process support, react quickly to business changes and implement opportunities to reduce costs.</w:t>
      </w:r>
    </w:p>
    <w:p>
      <w:pPr>
        <w:spacing w:after="0" w:line="187"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With our PCS brand, we have provided an automated platform dedicated to the collection of plasma for over 20 years. In fiscal 2018, we received U.S. Food and Drug Administration ("FDA") 510(k) clearance for our next generation device, the NexSys PCS and for the enhancement of our NexSys PCS embedded software that activates YES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technology, a yield-enhancing solution that enables increases in plasma yield per collection by an additional 18-26 mL per donation, on average. We also received CE mark clearance of the NexSys PCS device in the European Union and Australia, subject to additional local requirements, during fiscal 2018. We expect to pursue further regulatory clearances for additional enhancements to the overall product offering.</w:t>
      </w:r>
    </w:p>
    <w:p>
      <w:pPr>
        <w:spacing w:after="0" w:line="207" w:lineRule="exact"/>
        <w:rPr>
          <w:sz w:val="20"/>
          <w:szCs w:val="20"/>
          <w:color w:val="auto"/>
        </w:rPr>
      </w:pPr>
    </w:p>
    <w:p>
      <w:pPr>
        <w:ind w:left="660" w:right="460"/>
        <w:spacing w:after="0" w:line="259" w:lineRule="auto"/>
        <w:rPr>
          <w:sz w:val="20"/>
          <w:szCs w:val="20"/>
          <w:color w:val="auto"/>
        </w:rPr>
      </w:pPr>
      <w:r>
        <w:rPr>
          <w:rFonts w:ascii="Arial" w:cs="Arial" w:eastAsia="Arial" w:hAnsi="Arial"/>
          <w:sz w:val="18"/>
          <w:szCs w:val="18"/>
          <w:color w:val="auto"/>
        </w:rPr>
        <w:t>NexSys PCS is designed to enable higher plasma yield collections, improve productivity in our customers’ centers, enhance the overall donor experience and provide safe and reliable collections that will become life-changing medicines for patients. NexSys PCS includes bi-directional connectivity to the NexLynk DMS donor management system to improve operational efficiency within plasma centers, through automated programming of donation procedures and automated data capture of procedure data.</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0" w:right="2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We have entered into several long-term commercial contracts and are continuing the rollout and support of NexSys PCS devices and NexLynk DMS donor management software for these Plasma customers.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Plasma business unit represented 51.9%, 48.2% and 46.4% of our total revenue in fiscal 2019, 2018 and 2017, respectively.</w:t>
      </w:r>
    </w:p>
    <w:p>
      <w:pPr>
        <w:spacing w:after="0" w:line="1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Blood Center</w:t>
      </w:r>
    </w:p>
    <w:p>
      <w:pPr>
        <w:spacing w:after="0" w:line="134" w:lineRule="exact"/>
        <w:rPr>
          <w:rFonts w:ascii="Arial" w:cs="Arial" w:eastAsia="Arial" w:hAnsi="Arial"/>
          <w:sz w:val="18"/>
          <w:szCs w:val="18"/>
          <w:b w:val="1"/>
          <w:bCs w:val="1"/>
          <w:color w:val="auto"/>
        </w:rPr>
      </w:pPr>
    </w:p>
    <w:p>
      <w:pPr>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Our Blood Center business offers a range of solutions that improve donor collections centers ability for acquiring blood, filtering blood and separating blood components. We continue to look for solutions to improve donor safety and control costs through the existing product portfolio. Our products and technologies help donor collection centers optimize blood collection capabilities and donor processing management.</w:t>
      </w:r>
    </w:p>
    <w:p>
      <w:pPr>
        <w:spacing w:after="0" w:line="52" w:lineRule="exact"/>
        <w:rPr>
          <w:rFonts w:ascii="Arial" w:cs="Arial" w:eastAsia="Arial" w:hAnsi="Arial"/>
          <w:sz w:val="18"/>
          <w:szCs w:val="18"/>
          <w:b w:val="1"/>
          <w:bCs w:val="1"/>
          <w:color w:val="auto"/>
        </w:rPr>
      </w:pPr>
    </w:p>
    <w:p>
      <w:pPr>
        <w:ind w:left="660" w:right="2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Blood Center Market </w:t>
      </w:r>
      <w:r>
        <w:rPr>
          <w:rFonts w:ascii="Arial" w:cs="Arial" w:eastAsia="Arial" w:hAnsi="Arial"/>
          <w:sz w:val="18"/>
          <w:szCs w:val="18"/>
          <w:color w:val="auto"/>
        </w:rPr>
        <w:t>— There are millions of blood donations throughout the world every year that produce blood products for transfusion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surgical, trauma, or chronically ill patients. Patients typically receive only the blood components necessary to treat a particular clinical condition. Platelet therapy is frequently used to alleviate the effects of chemotherapy and to help patients with bleeding disorders. Red cells are often transfused to patients to replace blood lost during surgery and transfused to patients with blood disorders, such as sickle cell anemia or aplastic anemia. Plasma, in addition to its role in creating life-saving pharmaceuticals, is frequently transfused to replace blood volume in trauma victims and surgical patients.</w:t>
      </w:r>
    </w:p>
    <w:p>
      <w:pPr>
        <w:spacing w:after="0" w:line="98" w:lineRule="exact"/>
        <w:rPr>
          <w:rFonts w:ascii="Arial" w:cs="Arial" w:eastAsia="Arial" w:hAnsi="Arial"/>
          <w:sz w:val="18"/>
          <w:szCs w:val="18"/>
          <w:b w:val="1"/>
          <w:bCs w:val="1"/>
          <w:color w:val="auto"/>
        </w:rPr>
      </w:pPr>
    </w:p>
    <w:p>
      <w:pPr>
        <w:ind w:left="6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When collecting blood components there are two primary collection methods, manual whole blood donations and automated component blood collections. While most donations are manual whole blood, the benefit of automated component blood collections is the ability to collect more than one unit of the targeted blood component. Manual whole blood donations are collected from the donor and then transported to a laboratory where the blood is separated into its components. Automated component blood collections separate the blood component real-time while a person is donating blood. In this method, only the specific target blood component is collected and the remaining components are returned to the blood donor.</w:t>
      </w:r>
    </w:p>
    <w:p>
      <w:pPr>
        <w:spacing w:after="0" w:line="63" w:lineRule="exact"/>
        <w:rPr>
          <w:rFonts w:ascii="Arial" w:cs="Arial" w:eastAsia="Arial" w:hAnsi="Arial"/>
          <w:sz w:val="18"/>
          <w:szCs w:val="18"/>
          <w:b w:val="1"/>
          <w:bCs w:val="1"/>
          <w:color w:val="auto"/>
        </w:rPr>
      </w:pPr>
    </w:p>
    <w:p>
      <w:pPr>
        <w:ind w:left="6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While overall we expect total demand for blood to remain stable to slightly declining, demand in individual markets can vary greatly. Mature markets have developed more minimally invasive procedures with lower associated blood loss, as well as better blood management that have more than offset the increasing demand from aging populations. Emerging markets are seeing demand growth with expanded healthcare coverage and greater access to more advanced medical treatments.</w:t>
      </w:r>
    </w:p>
    <w:p>
      <w:pPr>
        <w:spacing w:after="0" w:line="92" w:lineRule="exact"/>
        <w:rPr>
          <w:rFonts w:ascii="Arial" w:cs="Arial" w:eastAsia="Arial" w:hAnsi="Arial"/>
          <w:sz w:val="18"/>
          <w:szCs w:val="18"/>
          <w:b w:val="1"/>
          <w:bCs w:val="1"/>
          <w:color w:val="auto"/>
        </w:rPr>
      </w:pPr>
    </w:p>
    <w:p>
      <w:pPr>
        <w:ind w:left="660" w:right="16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Blood Center Products </w:t>
      </w:r>
      <w:r>
        <w:rPr>
          <w:rFonts w:ascii="Arial" w:cs="Arial" w:eastAsia="Arial" w:hAnsi="Arial"/>
          <w:sz w:val="18"/>
          <w:szCs w:val="18"/>
          <w:color w:val="auto"/>
        </w:rPr>
        <w:t>— We offer automated blood component and manual whole blood collection systems to blood collection centers to 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products efficiently and cost effectively. In addition, we offer software solutions that help blood collection centers with blood drive planning, donor recruitment and retention, blood collection, component manufacturing and distribution.</w:t>
      </w:r>
    </w:p>
    <w:p>
      <w:pPr>
        <w:spacing w:after="0" w:line="86" w:lineRule="exact"/>
        <w:rPr>
          <w:rFonts w:ascii="Arial" w:cs="Arial" w:eastAsia="Arial" w:hAnsi="Arial"/>
          <w:sz w:val="18"/>
          <w:szCs w:val="18"/>
          <w:b w:val="1"/>
          <w:bCs w:val="1"/>
          <w:color w:val="auto"/>
        </w:rPr>
      </w:pPr>
    </w:p>
    <w:p>
      <w:pPr>
        <w:ind w:left="1300" w:right="20" w:hanging="158"/>
        <w:spacing w:after="0" w:line="252"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We market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apheresis equipment which is designed to collect specific blood components from the donor. Utilizing the MCS automated platelet collection protocols, blood centers collect one or more therapeutic “doses” of platelets during a single donation.</w:t>
      </w:r>
    </w:p>
    <w:p>
      <w:pPr>
        <w:spacing w:after="0" w:line="94" w:lineRule="exact"/>
        <w:rPr>
          <w:rFonts w:ascii="Arial" w:cs="Arial" w:eastAsia="Arial" w:hAnsi="Arial"/>
          <w:sz w:val="16"/>
          <w:szCs w:val="16"/>
          <w:color w:val="auto"/>
        </w:rPr>
      </w:pPr>
    </w:p>
    <w:p>
      <w:pPr>
        <w:ind w:left="1300" w:right="200" w:hanging="158"/>
        <w:spacing w:after="0" w:line="308" w:lineRule="auto"/>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portfolio of disposable whole blood collection and component storage sets offer flexibility in collecting a unit of whole blood and the subsequent production and storage of blood components, including options for in-line or dockable filters for leukoreduction.</w:t>
      </w:r>
    </w:p>
    <w:p>
      <w:pPr>
        <w:spacing w:after="0" w:line="51" w:lineRule="exact"/>
        <w:rPr>
          <w:rFonts w:ascii="Arial" w:cs="Arial" w:eastAsia="Arial" w:hAnsi="Arial"/>
          <w:sz w:val="17"/>
          <w:szCs w:val="17"/>
          <w:color w:val="auto"/>
        </w:rPr>
      </w:pPr>
    </w:p>
    <w:p>
      <w:pPr>
        <w:ind w:left="1300" w:right="260" w:hanging="158"/>
        <w:spacing w:after="0" w:line="216"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El-Dorado 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donation and blood unit management systems span blood center operations and automate and track operations from the recruitment of the blood donor to the disposition of the blood product.</w:t>
      </w:r>
    </w:p>
    <w:p>
      <w:pPr>
        <w:spacing w:after="0" w:line="108" w:lineRule="exact"/>
        <w:rPr>
          <w:rFonts w:ascii="Arial" w:cs="Arial" w:eastAsia="Arial" w:hAnsi="Arial"/>
          <w:sz w:val="18"/>
          <w:szCs w:val="18"/>
          <w:color w:val="auto"/>
        </w:rPr>
      </w:pPr>
    </w:p>
    <w:p>
      <w:pPr>
        <w:ind w:left="1300" w:right="80" w:hanging="158"/>
        <w:spacing w:after="0" w:line="216"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Hemasphere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solution provides support for more efficient blood drive planning and Donor Doc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help to improve donor recruitment and retention.</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Blood Center business unit represented 27.8%, 31.5% and 34.3% of our total revenue in fiscal 2019, 2018 and 2017, respectively.</w:t>
      </w:r>
    </w:p>
    <w:p>
      <w:pPr>
        <w:spacing w:after="0" w:line="12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Hospital</w:t>
      </w:r>
    </w:p>
    <w:p>
      <w:pPr>
        <w:spacing w:after="0" w:line="132" w:lineRule="exact"/>
        <w:rPr>
          <w:rFonts w:ascii="Arial" w:cs="Arial" w:eastAsia="Arial" w:hAnsi="Arial"/>
          <w:sz w:val="18"/>
          <w:szCs w:val="18"/>
          <w:b w:val="1"/>
          <w:bCs w:val="1"/>
          <w:color w:val="auto"/>
        </w:rPr>
      </w:pPr>
    </w:p>
    <w:p>
      <w:pPr>
        <w:ind w:left="660" w:right="480"/>
        <w:spacing w:after="0" w:line="261" w:lineRule="auto"/>
        <w:rPr>
          <w:rFonts w:ascii="Arial" w:cs="Arial" w:eastAsia="Arial" w:hAnsi="Arial"/>
          <w:sz w:val="18"/>
          <w:szCs w:val="18"/>
          <w:b w:val="1"/>
          <w:bCs w:val="1"/>
          <w:color w:val="auto"/>
        </w:rPr>
      </w:pPr>
      <w:r>
        <w:rPr>
          <w:rFonts w:ascii="Arial" w:cs="Arial" w:eastAsia="Arial" w:hAnsi="Arial"/>
          <w:sz w:val="20"/>
          <w:szCs w:val="20"/>
          <w:color w:val="auto"/>
        </w:rPr>
        <w:t>H</w:t>
      </w:r>
      <w:r>
        <w:rPr>
          <w:rFonts w:ascii="Arial" w:cs="Arial" w:eastAsia="Arial" w:hAnsi="Arial"/>
          <w:sz w:val="18"/>
          <w:szCs w:val="18"/>
          <w:color w:val="auto"/>
        </w:rPr>
        <w:t>ospitals are called upon to provide the highest standard of patient care while at the same time reduce operating costs. Haemonetics' Hospital</w:t>
      </w:r>
      <w:r>
        <w:rPr>
          <w:rFonts w:ascii="Arial" w:cs="Arial" w:eastAsia="Arial" w:hAnsi="Arial"/>
          <w:sz w:val="20"/>
          <w:szCs w:val="20"/>
          <w:color w:val="auto"/>
        </w:rPr>
        <w:t xml:space="preserve"> </w:t>
      </w:r>
      <w:r>
        <w:rPr>
          <w:rFonts w:ascii="Arial" w:cs="Arial" w:eastAsia="Arial" w:hAnsi="Arial"/>
          <w:sz w:val="18"/>
          <w:szCs w:val="18"/>
          <w:color w:val="auto"/>
        </w:rPr>
        <w:t>business has three product lines - Hemostasis Management, Cell Salvage and Transfusion Management - that help decision makers in hospitals optimize blood acquisition, storage and usage in critical settings.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Hemostasis Management</w:t>
      </w:r>
    </w:p>
    <w:p>
      <w:pPr>
        <w:spacing w:after="0" w:line="131"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b w:val="1"/>
          <w:bCs w:val="1"/>
          <w:i w:val="1"/>
          <w:iCs w:val="1"/>
          <w:color w:val="auto"/>
        </w:rPr>
        <w:t xml:space="preserve">Hemostasis Management Market </w:t>
      </w:r>
      <w:r>
        <w:rPr>
          <w:rFonts w:ascii="Arial" w:cs="Arial" w:eastAsia="Arial" w:hAnsi="Arial"/>
          <w:sz w:val="16"/>
          <w:szCs w:val="16"/>
          <w:color w:val="auto"/>
        </w:rPr>
        <w:t>— Hemostasis refers to a patient's ability to form and maintain blood clots. The clinical management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hemostasis requires that physicians have the most complete information to make decisions on how to best maintain a patient’s coagulation equilibrium between hemorrhage (bleeding) and thrombosis (clotting). Hemostasis is a critical challenge in various medical procedures, including cardiovascular surgery, organ transplantation, trauma, post-partum hemorrhage and percutaneous coronary intervention. By understanding a patient’s hemostasis status, clinicians can better plan for the patient’s care pathway. For example, they may decide whether to start or discontinue the use of certain drugs or to determine the need for a transfusion and which specific blood components would be most effective in minimizing blood loss and reducing clotting risk. Such planning supports better care, which can lead to lower hospital costs through a reduction in unnecessary blood product transfusions, reduced adverse transfusion reactions and shorter intensive care unit and hospital stays.</w:t>
      </w:r>
    </w:p>
    <w:p>
      <w:pPr>
        <w:spacing w:after="0" w:line="72" w:lineRule="exact"/>
        <w:rPr>
          <w:sz w:val="20"/>
          <w:szCs w:val="20"/>
          <w:color w:val="auto"/>
        </w:rPr>
      </w:pPr>
    </w:p>
    <w:p>
      <w:pPr>
        <w:ind w:left="660" w:right="100"/>
        <w:spacing w:after="0" w:line="253" w:lineRule="auto"/>
        <w:rPr>
          <w:sz w:val="20"/>
          <w:szCs w:val="20"/>
          <w:color w:val="auto"/>
        </w:rPr>
      </w:pPr>
      <w:r>
        <w:rPr>
          <w:rFonts w:ascii="Arial" w:cs="Arial" w:eastAsia="Arial" w:hAnsi="Arial"/>
          <w:sz w:val="17"/>
          <w:szCs w:val="17"/>
          <w:b w:val="1"/>
          <w:bCs w:val="1"/>
          <w:i w:val="1"/>
          <w:iCs w:val="1"/>
          <w:color w:val="auto"/>
        </w:rPr>
        <w:t xml:space="preserve">Hemostasis Management Products </w:t>
      </w:r>
      <w:r>
        <w:rPr>
          <w:rFonts w:ascii="Arial" w:cs="Arial" w:eastAsia="Arial" w:hAnsi="Arial"/>
          <w:sz w:val="17"/>
          <w:szCs w:val="17"/>
          <w:color w:val="auto"/>
        </w:rPr>
        <w:t>— Our portfolio of TEG</w:t>
      </w:r>
      <w:r>
        <w:rPr>
          <w:rFonts w:ascii="Arial" w:cs="Arial" w:eastAsia="Arial" w:hAnsi="Arial"/>
          <w:sz w:val="24"/>
          <w:szCs w:val="24"/>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diagnostic systems enables clinicians to holistically assess the coagulation status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at the point-of-care or laboratory setting. We have two device platforms that we market to hospitals and laboratories as an alternative to routine blood tests: the TEG 5000 hemostasis analyzer system, which we obtained in the 2007 acquisition of assets from Haemoscope Corporation, and the TEG 6s hemostasis analyzer system, the underlying technology for which we license from Cora Healthcare, Inc., a company established by Haemoscope's founders. Under the license from Cora Healthcare, we have exclusive perpetual rights to manufacture and commercialize the TEG 6s system in the field of hospitals and hospital laboratories.</w:t>
      </w:r>
    </w:p>
    <w:p>
      <w:pPr>
        <w:spacing w:after="0" w:line="191" w:lineRule="exact"/>
        <w:rPr>
          <w:sz w:val="20"/>
          <w:szCs w:val="20"/>
          <w:color w:val="auto"/>
        </w:rPr>
      </w:pPr>
    </w:p>
    <w:p>
      <w:pPr>
        <w:ind w:left="660" w:right="300"/>
        <w:spacing w:after="0" w:line="226" w:lineRule="auto"/>
        <w:rPr>
          <w:sz w:val="20"/>
          <w:szCs w:val="20"/>
          <w:color w:val="auto"/>
        </w:rPr>
      </w:pPr>
      <w:r>
        <w:rPr>
          <w:rFonts w:ascii="Arial" w:cs="Arial" w:eastAsia="Arial" w:hAnsi="Arial"/>
          <w:sz w:val="18"/>
          <w:szCs w:val="18"/>
          <w:color w:val="auto"/>
        </w:rPr>
        <w:t>Each TEG system consists of an analyzer that is used with single-use reagents and disposables. In addition, TEG Manager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connects multiple TEG analyzers throughout the hospital, providing clinicians remote access to both active and historical test results that inform treatment decisions.</w:t>
      </w:r>
    </w:p>
    <w:p>
      <w:pPr>
        <w:spacing w:after="0" w:line="204"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The TEG 5000 system is approved for a broad set of indications in all of our markets. The TEG 6s system is approved for the same set of indications as the TEG 5000 in Europe, Australia and Japan. We continue to pursue a broader set of indications for TEG 6s in the U.S. In May 2019, we received FDA clearance for the use of TEG 6s in adult trauma settings. This clearance builds on the current indication for the TEG 6s system in cardiovascular surgery and cardiology procedures, making it the first cartridge-based system available in the U.S. to evaluate the hemostasis condition in adult trauma patients.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Cell Processing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Cell Salvage</w:t>
      </w:r>
    </w:p>
    <w:p>
      <w:pPr>
        <w:spacing w:after="0" w:line="131"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b w:val="1"/>
          <w:bCs w:val="1"/>
          <w:i w:val="1"/>
          <w:iCs w:val="1"/>
          <w:color w:val="auto"/>
        </w:rPr>
        <w:t xml:space="preserve">Cell Salvage Market </w:t>
      </w:r>
      <w:r>
        <w:rPr>
          <w:rFonts w:ascii="Arial" w:cs="Arial" w:eastAsia="Arial" w:hAnsi="Arial"/>
          <w:sz w:val="16"/>
          <w:szCs w:val="16"/>
          <w:color w:val="auto"/>
        </w:rPr>
        <w:t>— The Cell Salvage market is mainly comprised of devices designed to transfuse back a patient’s own blood during or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surgery. Loss of blood is common in many surgical procedures, including open heart, trauma, transplant, vascular and orthopedic procedures, and the need for transfusion of oxygen-carrying red cells to make up for lost blood volume is routine. Patients commonly receive donor (or allogeneic) blood which carries various risks for transfusion reactions including chills, fevers or other side effects that can prolong a patient’s recovery.</w:t>
      </w:r>
    </w:p>
    <w:p>
      <w:pPr>
        <w:spacing w:after="0" w:line="154" w:lineRule="exact"/>
        <w:rPr>
          <w:sz w:val="20"/>
          <w:szCs w:val="20"/>
          <w:color w:val="auto"/>
        </w:rPr>
      </w:pPr>
    </w:p>
    <w:p>
      <w:pPr>
        <w:ind w:left="660" w:right="260"/>
        <w:spacing w:after="0" w:line="272" w:lineRule="auto"/>
        <w:rPr>
          <w:sz w:val="20"/>
          <w:szCs w:val="20"/>
          <w:color w:val="auto"/>
        </w:rPr>
      </w:pPr>
      <w:r>
        <w:rPr>
          <w:rFonts w:ascii="Arial" w:cs="Arial" w:eastAsia="Arial" w:hAnsi="Arial"/>
          <w:sz w:val="17"/>
          <w:szCs w:val="17"/>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or after surgery for reinfusion of red cells to that patient. Blood is suctioned from the surgical site or collected from a wound or chest drain, processed and washed through a centrifuge-based system that yields concentrated red cells available for transfusion back to the patient. This process occurs in a sterile, closed-circuit, single-use consumable set that is fitted into an electromechanical device. We market our surgical blood salvage products to surgical specialists, primarily cardiovascular, orthopedic and trauma surgeons, and to anesthesiologists and surgical suite service providers.</w:t>
      </w:r>
    </w:p>
    <w:p>
      <w:pPr>
        <w:spacing w:after="0" w:line="178" w:lineRule="exact"/>
        <w:rPr>
          <w:sz w:val="20"/>
          <w:szCs w:val="20"/>
          <w:color w:val="auto"/>
        </w:rPr>
      </w:pPr>
    </w:p>
    <w:p>
      <w:pPr>
        <w:jc w:val="both"/>
        <w:ind w:left="660" w:right="100"/>
        <w:spacing w:after="0" w:line="243" w:lineRule="auto"/>
        <w:rPr>
          <w:sz w:val="20"/>
          <w:szCs w:val="20"/>
          <w:color w:val="auto"/>
        </w:rPr>
      </w:pPr>
      <w:r>
        <w:rPr>
          <w:rFonts w:ascii="Arial" w:cs="Arial" w:eastAsia="Arial" w:hAnsi="Arial"/>
          <w:sz w:val="17"/>
          <w:szCs w:val="17"/>
          <w:b w:val="1"/>
          <w:bCs w:val="1"/>
          <w:i w:val="1"/>
          <w:iCs w:val="1"/>
          <w:color w:val="auto"/>
        </w:rPr>
        <w:t xml:space="preserve">Cell Salvage Products </w:t>
      </w:r>
      <w:r>
        <w:rPr>
          <w:rFonts w:ascii="Arial" w:cs="Arial" w:eastAsia="Arial" w:hAnsi="Arial"/>
          <w:sz w:val="17"/>
          <w:szCs w:val="17"/>
          <w:color w:val="auto"/>
        </w:rPr>
        <w:t>— Our Cell Saver</w:t>
      </w:r>
      <w:r>
        <w:rPr>
          <w:rFonts w:ascii="Arial" w:cs="Arial" w:eastAsia="Arial" w:hAnsi="Arial"/>
          <w:sz w:val="23"/>
          <w:szCs w:val="23"/>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Elite</w:t>
      </w:r>
      <w:r>
        <w:rPr>
          <w:rFonts w:ascii="Arial" w:cs="Arial" w:eastAsia="Arial" w:hAnsi="Arial"/>
          <w:sz w:val="23"/>
          <w:szCs w:val="23"/>
          <w:color w:val="auto"/>
          <w:vertAlign w:val="superscript"/>
        </w:rPr>
        <w:t>®</w:t>
      </w:r>
      <w:r>
        <w:rPr>
          <w:rFonts w:ascii="Arial" w:cs="Arial" w:eastAsia="Arial" w:hAnsi="Arial"/>
          <w:sz w:val="17"/>
          <w:szCs w:val="17"/>
          <w:color w:val="auto"/>
        </w:rPr>
        <w:t>+ autologous blood recovery system is a surgical blood salvage system targeted to medium to high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blood loss procedures, such as cardiovascular, orthopedic, trauma, transplant, vascular, obstetrical and gynecological surgeries. The Cell Saver Elite + is designed to minimize allogeneic blood use and reliably recover and transfuse a patient’s own high-quality blood.</w:t>
      </w:r>
    </w:p>
    <w:p>
      <w:pPr>
        <w:spacing w:after="0" w:line="201" w:lineRule="exact"/>
        <w:rPr>
          <w:sz w:val="20"/>
          <w:szCs w:val="20"/>
          <w:color w:val="auto"/>
        </w:rPr>
      </w:pPr>
    </w:p>
    <w:p>
      <w:pPr>
        <w:ind w:left="660" w:right="260"/>
        <w:spacing w:after="0" w:line="232" w:lineRule="auto"/>
        <w:rPr>
          <w:sz w:val="20"/>
          <w:szCs w:val="20"/>
          <w:color w:val="auto"/>
        </w:rPr>
      </w:pPr>
      <w:r>
        <w:rPr>
          <w:rFonts w:ascii="Arial" w:cs="Arial" w:eastAsia="Arial" w:hAnsi="Arial"/>
          <w:sz w:val="18"/>
          <w:szCs w:val="18"/>
          <w:color w:val="auto"/>
        </w:rPr>
        <w:t>Our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perioperative autotranfusion system is targeted to orthopedic procedures and is designed to remain with the patient following surgery, to recover blood and produce a washed red cell product for autotransfusion. We discontinued the sale of our OrthoPAT products effective March 31, 2019. We offer the Cell Saver Elite + as an alternative autotransfusion system for orthopedics or other medium to low blood loss procedures.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30"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Transfusion Management</w:t>
      </w:r>
    </w:p>
    <w:p>
      <w:pPr>
        <w:spacing w:after="0" w:line="131"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b w:val="1"/>
          <w:bCs w:val="1"/>
          <w:i w:val="1"/>
          <w:iCs w:val="1"/>
          <w:color w:val="auto"/>
        </w:rPr>
        <w:t xml:space="preserve">Transfusion Management Market </w:t>
      </w:r>
      <w:r>
        <w:rPr>
          <w:rFonts w:ascii="Arial" w:cs="Arial" w:eastAsia="Arial" w:hAnsi="Arial"/>
          <w:sz w:val="18"/>
          <w:szCs w:val="18"/>
          <w:color w:val="auto"/>
        </w:rPr>
        <w:t>— Hospital transfusion services professionals and clinicians are facing cost restraints in addition to the pressure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enhance patient safety, compliance and operational efficiency. Managing the safety and traceability of the blood supply chain and comprehensive management of patients, orders, specimens, blood products, derivatives and accessories across the hospital network is challenging. In addition, providing clinicians with the vital access to blood when needed most while maintaining traceability is a key priority. Frequently when blood products leave the blood bank, the transfusion management staff loses control and visibility of the blood components. They often do not know if the blood was handled, stored or transfused properly, which may lead to negative effects on patient safety, product quality, inventory availability and staff efficiency as well as increased waste.</w:t>
      </w:r>
    </w:p>
    <w:p>
      <w:pPr>
        <w:spacing w:after="0" w:line="189" w:lineRule="exact"/>
        <w:rPr>
          <w:sz w:val="20"/>
          <w:szCs w:val="20"/>
          <w:color w:val="auto"/>
        </w:rPr>
      </w:pPr>
    </w:p>
    <w:p>
      <w:pPr>
        <w:ind w:left="660" w:right="100"/>
        <w:spacing w:after="0" w:line="228" w:lineRule="auto"/>
        <w:rPr>
          <w:sz w:val="20"/>
          <w:szCs w:val="20"/>
          <w:color w:val="auto"/>
        </w:rPr>
      </w:pPr>
      <w:r>
        <w:rPr>
          <w:rFonts w:ascii="Arial" w:cs="Arial" w:eastAsia="Arial" w:hAnsi="Arial"/>
          <w:sz w:val="18"/>
          <w:szCs w:val="18"/>
          <w:b w:val="1"/>
          <w:bCs w:val="1"/>
          <w:i w:val="1"/>
          <w:iCs w:val="1"/>
          <w:color w:val="auto"/>
        </w:rPr>
        <w:t xml:space="preserve">Transfusion Management Products </w:t>
      </w:r>
      <w:r>
        <w:rPr>
          <w:rFonts w:ascii="Arial" w:cs="Arial" w:eastAsia="Arial" w:hAnsi="Arial"/>
          <w:sz w:val="18"/>
          <w:szCs w:val="18"/>
          <w:color w:val="auto"/>
        </w:rPr>
        <w:t>— Our Transfusion Management solutions are designed to help provide safety, traceability and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hospital blood bank to the patient bedside and enable consistent care across the hospital network. The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transfusion management software is considered the system of record for all hospital blood bank and transfusion service information. BloodTrack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blood management software is a modular suite of blood management and bedside transfusion solutions that combines software with hardware components and acts as an extension of the hospital’s blood bank information system. The software is designed to work with storage devices, including the BloodTrack HaemoBank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blood storage device.</w:t>
      </w:r>
    </w:p>
    <w:p>
      <w:pPr>
        <w:spacing w:after="0" w:line="9" w:lineRule="exact"/>
        <w:rPr>
          <w:sz w:val="20"/>
          <w:szCs w:val="20"/>
          <w:color w:val="auto"/>
        </w:rPr>
      </w:pPr>
    </w:p>
    <w:p>
      <w:pPr>
        <w:ind w:left="60" w:right="1460" w:firstLine="594"/>
        <w:spacing w:after="0" w:line="391" w:lineRule="auto"/>
        <w:rPr>
          <w:sz w:val="20"/>
          <w:szCs w:val="20"/>
          <w:color w:val="auto"/>
        </w:rPr>
      </w:pPr>
      <w:r>
        <w:rPr>
          <w:rFonts w:ascii="Arial" w:cs="Arial" w:eastAsia="Arial" w:hAnsi="Arial"/>
          <w:sz w:val="18"/>
          <w:szCs w:val="18"/>
          <w:color w:val="auto"/>
        </w:rPr>
        <w:t xml:space="preserve">Our Hospital business unit represented 20.3%, 20.3% and 19.4% of our total revenue in fiscal 2019, 2018 and 2017, respectively. </w:t>
      </w:r>
      <w:r>
        <w:rPr>
          <w:rFonts w:ascii="Arial" w:cs="Arial" w:eastAsia="Arial" w:hAnsi="Arial"/>
          <w:sz w:val="18"/>
          <w:szCs w:val="18"/>
          <w:b w:val="1"/>
          <w:bCs w:val="1"/>
          <w:i w:val="1"/>
          <w:iCs w:val="1"/>
          <w:color w:val="auto"/>
        </w:rPr>
        <w:t>Marketing/Sales/Distribution</w:t>
      </w:r>
    </w:p>
    <w:p>
      <w:pPr>
        <w:spacing w:after="0" w:line="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market and sell our products to biopharmaceutical companies, blood collection groups and independent blood centers, hospitals and hospital service providers, group purchasing organizations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research and development centers in the U.S. ensure that protocol variations are incorporated to closely match local customer requirements. In addition, Haemonetics maintains software development operations in Canada and France.</w:t>
      </w:r>
    </w:p>
    <w:p>
      <w:pPr>
        <w:spacing w:after="0" w:line="7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Customer collaborations are also an important part of our technical strength and competitive advantage. These collaborations with customers and transfusion experts provide us with ideas for new products and applications, enhanced protocols and potential test sites as well as objective evaluations and expert opinions regarding technical and performance issues.</w:t>
      </w:r>
    </w:p>
    <w:p>
      <w:pPr>
        <w:spacing w:after="0" w:line="8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development of blood component separation products, hemostasis analyzers and software has required us to maintain technical expertise in various engineering disciplines, including mechanical, electrical, software, biomedical engineering and chemistry. Innovations resulting from these various engineering efforts enable us to develop systems that are faster, smaller and more user-friendly, or that incorporate additional features important to our customer base.</w:t>
      </w:r>
    </w:p>
    <w:p>
      <w:pPr>
        <w:spacing w:after="0" w:line="9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fiscal 2019, research and development resources were allocated to support innovation across our portfolio, including investments in clinical programs for our Hemostasis Management product line. A key element of our strategy in the U.S. for our Hemostasis Management product line has been to invest in clinical trials to support expanded FDA labeling including a trauma indication for our TEG 6s. In May 2019, we received FDA clearance for the use of TEG 6s in adult trauma settings. This clearance builds on the current indication for the TEG 6s system in cardiovascular surgery and cardiology procedures, making it the first cartridge-based system available in the U.S. to evaluate the hemostasis condition in adult trauma patients. Additionally, we continue to invest resources in next generation plasma collection and software systems.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endeavor to supply products that are both high quality and cost competitive for our customers by leveraging continuous improvement methodologies, focusing on our core competencies and partnering with strategic suppliers that complement our capabilities. In general, we design our equipment and consumables and use contract manufacturers to build the devices, while the majority of consumables are manufactured by us.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production activities occur in controlled settings or “clean room” environments and have built-in quality checks throughout the manufacturing processes. Our manufacturing teams are focused on continuously improving our productivity, product cost and product quality through change control procedures, validations and strong supplier management programs. We regularly review our logistics capabilities, inventory and safety stock levels and maintain business continuity plans to address supply disruptions that may occur.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Our primary consumable manufacturing operations are located in North America and Malaysia. Contract manufacturers also supply component sets and liquid solutions according to our specifications and manufacture in Mexico, Japan, Singapore, Thailand and the Philippines. Our devices are principally manufactured in Malaysia, Australia and the U.S.</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Plastics and other petroleum-based products are the principal component of our disposable products and can be affected by oil and gas prices. Contracts with our suppliers help to mitigate some of the short term effects of price volatility in this market. However, increases in the price of petroleum derivatives could result in corresponding increases in our costs to procure plastic raw materials.</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consider our intellectual property rights to be important to our business. We rely on a combination of patent, trademark, copyright and trade secret laws, as well as provisions in our agreements with third parties, to protect our intellectual property rights.</w:t>
      </w:r>
    </w:p>
    <w:p>
      <w:pPr>
        <w:spacing w:after="0" w:line="7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hold numerous patents in the United States and have applied for numerous additional U.S. patents relating to our products and related technologies. We also own or have applied for corresponding patents in selected foreign countries. These patents cover certain elements of our products and processes, including protocols employed in our equipment and aspects of certain our disposables. Our patents may cover current products, products in markets we plan to enter, or products in markets we plan to license to others, or the patents may be defensive in that they are directed to technologies not currently embodied in our current products. We also license patent rights from third parties that cover technologies that we use or plan to use in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We own various trademarks that have been registered in the United States and certain other countries.</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determined invalid.</w:t>
      </w:r>
    </w:p>
    <w:p>
      <w:pPr>
        <w:spacing w:after="0" w:line="9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 maintain our competitive position, we also rely on the technical expertise and know-how of our personnel. We believe that unpatented know-how and trade secrets relied upon in connection with our business and products are generally as important as patent protection in establishing and maintaining a competitive advantage.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that meet our customer's needs, (iii) obtaining regulatory approvals for our products in key markets, (iv) obtaining patents that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that favor a competitor's technology or reduce revenues in key areas of our business.</w:t>
      </w:r>
    </w:p>
    <w:p>
      <w:pPr>
        <w:spacing w:after="0" w:line="9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technical staff is highly skilled, but certain competitors have substantially greater financial resources and larger technical staff at their disposal. There can be no assurance that competitors will not direct substantial efforts and resources toward the development and marketing of products competitive with those of Haemonetics.</w:t>
      </w:r>
    </w:p>
    <w:p>
      <w:pPr>
        <w:spacing w:after="0" w:line="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we face competition from several large, global companies with product offerings similar to ours. Terumo BCT and Fresenius SE &amp; Co. KGaA, in particular, have significantly greater financial and other resources than we do and are strong competitors in a number of our businesses. The following provides an overview of the key competitors in each of our three global product enterprises.</w:t>
      </w:r>
    </w:p>
    <w:p>
      <w:pPr>
        <w:spacing w:after="0" w:line="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Plasma</w:t>
      </w:r>
    </w:p>
    <w:p>
      <w:pPr>
        <w:spacing w:after="0" w:line="23" w:lineRule="exact"/>
        <w:rPr>
          <w:rFonts w:ascii="Arial" w:cs="Arial" w:eastAsia="Arial" w:hAnsi="Arial"/>
          <w:sz w:val="18"/>
          <w:szCs w:val="18"/>
          <w:i w:val="1"/>
          <w:iCs w:val="1"/>
          <w:color w:val="auto"/>
        </w:rPr>
      </w:pPr>
    </w:p>
    <w:p>
      <w:pPr>
        <w:ind w:left="660" w:right="20"/>
        <w:spacing w:after="0" w:line="271" w:lineRule="auto"/>
        <w:rPr>
          <w:rFonts w:ascii="Arial" w:cs="Arial" w:eastAsia="Arial" w:hAnsi="Arial"/>
          <w:sz w:val="18"/>
          <w:szCs w:val="18"/>
          <w:i w:val="1"/>
          <w:iCs w:val="1"/>
          <w:color w:val="auto"/>
        </w:rPr>
      </w:pPr>
      <w:r>
        <w:rPr>
          <w:rFonts w:ascii="Arial" w:cs="Arial" w:eastAsia="Arial" w:hAnsi="Arial"/>
          <w:sz w:val="17"/>
          <w:szCs w:val="17"/>
          <w:color w:val="auto"/>
        </w:rPr>
        <w:t>In the automated plasma collection market, we principally compete with Fresenius' Fenwal Aurora and Aurora Xi product line, on the basis of speed, plasma yield per donation, quality, reliability, ease of use, services and technical features of the collection systems and on the long-term cost-effectiveness of equipment and disposables. In China, the market is populated by local producers of a product that is intended to be similar to ours. Recently, those competitors have expanded to markets beyond China, including European and South American countries. In the field of plasma related software, MAK Systems is the primary competitor along with applications developed internally by our customers.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Blood Center</w:t>
      </w:r>
    </w:p>
    <w:p>
      <w:pPr>
        <w:spacing w:after="0" w:line="23" w:lineRule="exact"/>
        <w:rPr>
          <w:rFonts w:ascii="Arial" w:cs="Arial" w:eastAsia="Arial" w:hAnsi="Arial"/>
          <w:sz w:val="18"/>
          <w:szCs w:val="18"/>
          <w:i w:val="1"/>
          <w:iCs w:val="1"/>
          <w:color w:val="auto"/>
        </w:rPr>
      </w:pPr>
    </w:p>
    <w:p>
      <w:pPr>
        <w:ind w:left="660" w:right="6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Most donations worldwide are traditional manual whole blood collections and approximately 40% of the Blood Center portfolio competes in this space. We face intense competition in our whole blood business on the basis of quality and price. Our main competitors are Fresenius, MacoPharma and Terumo.</w:t>
      </w:r>
    </w:p>
    <w:p>
      <w:pPr>
        <w:spacing w:after="0" w:line="190" w:lineRule="exact"/>
        <w:rPr>
          <w:rFonts w:ascii="Arial" w:cs="Arial" w:eastAsia="Arial" w:hAnsi="Arial"/>
          <w:sz w:val="18"/>
          <w:szCs w:val="18"/>
          <w:i w:val="1"/>
          <w:iCs w:val="1"/>
          <w:color w:val="auto"/>
        </w:rPr>
      </w:pPr>
    </w:p>
    <w:p>
      <w:pPr>
        <w:ind w:left="66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Our MCS automated component blood collections, which represents approximately 55% of the Blood Center portfolio, not only compete against the traditional manual whole blood collection market (particularly in red cells) but also compete with products from Terumo and Fresenius. Technology is the key differentiator in automated component blood collections, as measured by the time to collect more than one unit of a specific targeted blood component. While not all donors are eligible to donate more than one unit, it continues to become more prevalent in markets with a significant number of eligible donors. Therefore, both Haemonetics and our competitors continue to experience downward pressure on collection of single platelet collection procedures.</w:t>
      </w:r>
    </w:p>
    <w:p>
      <w:pPr>
        <w:spacing w:after="0" w:line="193" w:lineRule="exact"/>
        <w:rPr>
          <w:rFonts w:ascii="Arial" w:cs="Arial" w:eastAsia="Arial" w:hAnsi="Arial"/>
          <w:sz w:val="18"/>
          <w:szCs w:val="18"/>
          <w:i w:val="1"/>
          <w:iCs w:val="1"/>
          <w:color w:val="auto"/>
        </w:rPr>
      </w:pPr>
    </w:p>
    <w:p>
      <w:pPr>
        <w:ind w:left="660" w:right="1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In Blood Center software, MAK Technologies is a competitor along with systems developed internally by our customers. Our software portfolio is predominately a U.S. based business.</w:t>
      </w:r>
    </w:p>
    <w:p>
      <w:pPr>
        <w:spacing w:after="0" w:line="7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Hospital</w:t>
      </w:r>
    </w:p>
    <w:p>
      <w:pPr>
        <w:spacing w:after="0" w:line="130"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u w:val="single" w:color="auto"/>
          <w:color w:val="auto"/>
        </w:rPr>
        <w:t>Hemostasis Management</w:t>
      </w:r>
    </w:p>
    <w:p>
      <w:pPr>
        <w:spacing w:after="0" w:line="225" w:lineRule="exact"/>
        <w:rPr>
          <w:rFonts w:ascii="Arial" w:cs="Arial" w:eastAsia="Arial" w:hAnsi="Arial"/>
          <w:sz w:val="18"/>
          <w:szCs w:val="18"/>
          <w:i w:val="1"/>
          <w:iCs w:val="1"/>
          <w:color w:val="auto"/>
        </w:rPr>
      </w:pPr>
    </w:p>
    <w:p>
      <w:pPr>
        <w:ind w:left="660" w:right="2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The TEG hemostasis analyzer system is used primarily in surgical applications. Competition includes routine coagulation tests, such as prothrombin time, partial thromboplastin time and platelet count marketed by various manufacturers, such as Instrumentation Laboratory, Diagnostica Stago SAS and Sysmex. The TEG analyzer competes with these routine laboratory tests based on its ability to provide a more complete picture of a patient's hemostasis at a single point in time and to measure the clinically relevant platelet function for an individual patient.</w:t>
      </w:r>
    </w:p>
    <w:p>
      <w:pPr>
        <w:spacing w:after="0" w:line="154" w:lineRule="exact"/>
        <w:rPr>
          <w:rFonts w:ascii="Arial" w:cs="Arial" w:eastAsia="Arial" w:hAnsi="Arial"/>
          <w:sz w:val="18"/>
          <w:szCs w:val="18"/>
          <w:i w:val="1"/>
          <w:iCs w:val="1"/>
          <w:color w:val="auto"/>
        </w:rPr>
      </w:pPr>
    </w:p>
    <w:p>
      <w:pPr>
        <w:ind w:left="660"/>
        <w:spacing w:after="0" w:line="213" w:lineRule="auto"/>
        <w:rPr>
          <w:rFonts w:ascii="Arial" w:cs="Arial" w:eastAsia="Arial" w:hAnsi="Arial"/>
          <w:sz w:val="18"/>
          <w:szCs w:val="18"/>
          <w:i w:val="1"/>
          <w:iCs w:val="1"/>
          <w:color w:val="auto"/>
        </w:rPr>
      </w:pPr>
      <w:r>
        <w:rPr>
          <w:rFonts w:ascii="Arial" w:cs="Arial" w:eastAsia="Arial" w:hAnsi="Arial"/>
          <w:sz w:val="18"/>
          <w:szCs w:val="18"/>
          <w:color w:val="auto"/>
        </w:rPr>
        <w:t>In addition, TEG systems compete more directly with other advanced blood test systems, including ROTEM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analyzers, the VerifyNow</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and HemoSonics Quantra™. ROTEM and VerifyNow instruments are marketed by Instrumentation Laboratory, a subsidiary of Werfen. HemoSonics is owned and offered by Diagnostica Stago. There are also additional technologies being explored to assess viscoelastic and other characteristics that can provide insights into the coagulation status of a patient.</w:t>
      </w:r>
    </w:p>
    <w:p>
      <w:pPr>
        <w:spacing w:after="0" w:line="108" w:lineRule="exact"/>
        <w:rPr>
          <w:rFonts w:ascii="Arial" w:cs="Arial" w:eastAsia="Arial" w:hAnsi="Arial"/>
          <w:sz w:val="18"/>
          <w:szCs w:val="18"/>
          <w:i w:val="1"/>
          <w:iCs w:val="1"/>
          <w:color w:val="auto"/>
        </w:rPr>
      </w:pPr>
    </w:p>
    <w:p>
      <w:pPr>
        <w:ind w:left="660" w:right="9600"/>
        <w:spacing w:after="0" w:line="500"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 xml:space="preserve">Cell Processing </w:t>
      </w:r>
      <w:r>
        <w:rPr>
          <w:rFonts w:ascii="Arial" w:cs="Arial" w:eastAsia="Arial" w:hAnsi="Arial"/>
          <w:sz w:val="16"/>
          <w:szCs w:val="16"/>
          <w:i w:val="1"/>
          <w:iCs w:val="1"/>
          <w:color w:val="auto"/>
        </w:rPr>
        <w:t>Cell Salvage</w:t>
      </w:r>
    </w:p>
    <w:p>
      <w:pPr>
        <w:spacing w:after="0" w:line="3" w:lineRule="exact"/>
        <w:rPr>
          <w:rFonts w:ascii="Arial" w:cs="Arial" w:eastAsia="Arial" w:hAnsi="Arial"/>
          <w:sz w:val="18"/>
          <w:szCs w:val="18"/>
          <w:i w:val="1"/>
          <w:iCs w:val="1"/>
          <w:color w:val="auto"/>
        </w:rPr>
      </w:pPr>
    </w:p>
    <w:p>
      <w:pPr>
        <w:jc w:val="both"/>
        <w:ind w:left="660" w:right="1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intraoperative autotransfusion market, competition is based on reliability, ease of use, service, support and price. For high-volume platforms, each manufacturer's technology is similar and our Cell Saver technology competes principally with products offered by LivaNova PLC, Medtronic and Fresenius.</w:t>
      </w:r>
    </w:p>
    <w:p>
      <w:pPr>
        <w:spacing w:after="0" w:line="181"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Transfusion Management</w:t>
      </w:r>
    </w:p>
    <w:p>
      <w:pPr>
        <w:spacing w:after="0" w:line="225" w:lineRule="exact"/>
        <w:rPr>
          <w:rFonts w:ascii="Arial" w:cs="Arial" w:eastAsia="Arial" w:hAnsi="Arial"/>
          <w:sz w:val="18"/>
          <w:szCs w:val="18"/>
          <w:i w:val="1"/>
          <w:iCs w:val="1"/>
          <w:color w:val="auto"/>
        </w:rPr>
      </w:pPr>
    </w:p>
    <w:p>
      <w:pPr>
        <w:ind w:left="660" w:right="4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SafeTrace Tx and BloodTrack compete in the transfusion management software market within the broader category of hospital information systems. SafeTrace Tx is an FDA regulated blood bank information system ("BBIS") that integrates and communicates with other healthcare information systems such as the electronic health record and laboratory information system within the hospital. The BloodTrack software, also FDA regulated, is an extension of the BBIS and provides secure, traceable blood units at the point-of-care, including trauma, surgery, outpatient and critical care settings. Growth drivers for these markets include patient safety, operational efficiencies and compliance.</w:t>
      </w:r>
    </w:p>
    <w:p>
      <w:pPr>
        <w:spacing w:after="0" w:line="172" w:lineRule="exact"/>
        <w:rPr>
          <w:rFonts w:ascii="Arial" w:cs="Arial" w:eastAsia="Arial" w:hAnsi="Arial"/>
          <w:sz w:val="18"/>
          <w:szCs w:val="18"/>
          <w:i w:val="1"/>
          <w:iCs w:val="1"/>
          <w:color w:val="auto"/>
        </w:rPr>
      </w:pPr>
    </w:p>
    <w:p>
      <w:pPr>
        <w:ind w:left="660" w:right="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SafeTrace Tx competition primarily consists of stand-alone BBIS including WellSky and some Electronic Health Record software that includes a built-in transfusion management solution including Cerner. Global competition for BloodTrack varies by country including MSoft in Europe and established blood practices in the U.S. such as using standard refrigerators and manual movement of blood products. BloodTrack integrates with the hospital’s existing lab or blood bank system allowing for greater market acceptance.</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3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fiscal 2019, 2018 and 2017, our ten largest customers accounted for approximately 52%, 45% and 42% of our net revenues, respectively. In fiscal 2019, 2018 and 2017, two of our Plasma customers, CSL Plasma Inc. ("CSL") and Grifols, each were greater than 10% of total net revenues and in total accounted for approximately 27%, 26% and 24% of our net revenues,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30"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respectively. Additionally, one of our Blood Center customers accounted for greater than 10% of our Japan segment’s net revenues in fiscal 2019, 2018 and 2017.</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3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Due to the variety of products that we manufacture, we and our products are subject to a wide variety of regulations by numerous government agencies, including the FDA, and similar agencies outside the U.S. To varying degrees, each of these agencies requires us to comply with laws and regulations governing the development, testing, manufacturing, labeling, marketing and distribution of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Requirements - U.S.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an exemption applies, all medical devices introduced to the U.S. market since 1976 are required by the FDA, as a condition of marketing, to secure either a 510(k) pre-market notification clearance or an approved premarket approval application, or PMA. The FDA classifies medical devices into one of three classes. Devices deemed to pose a low or moderate risk are placed in class I or II, which requires the manufacturer to submit to the FDA a 510(k) premarket notification requesting clearance for commercial distribution, unless the device type is exempt from this requirement. Devices deemed by the FDA to pose the greatest risk or devices deemed not substantially equivalent to a previously cleared 510(k) device are placed in class III, requiring submission and approval of a PMA. Both the 510(k) clearance and PMA processes can be resource intensive, expensive and lengthy and require payment of significant user fees.</w:t>
      </w:r>
    </w:p>
    <w:p>
      <w:pPr>
        <w:spacing w:after="0" w:line="10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To obtain 510(k) clearance, we must submit a premarket notification demonstrating that the proposed device is “substantially equivalent” to a previously cleared 510(k) device or a device that was in commercial distribution before May 28, 1976 for which the FDA has not yet called for the submission of PMAs. The FDA’s 510(k) clearance pathway usually takes from three to 12 months from the date the notification is submitted, but it can take considerably longer, depending on the extent of FDA's requests for additional information and the amount of time a sponsor takes to fulfill them. After a device receives 510(k) clearance, any modification that could significantly affect its safety or effectiveness, or that would constitute a major change in its intended use, will require a new 510(k) clearance or could require premarket approval.</w:t>
      </w:r>
    </w:p>
    <w:p>
      <w:pPr>
        <w:spacing w:after="0" w:line="9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 PMA must be submitted if a device cannot be cleared through the 510(k) clearance process. The PMA process is generally more detailed, lengthier and more expensive than the 510(k) process. To date, we have no PMA approved products and do not have any class III products on our product pipeline.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 Requirements - U.S.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After the FDA permits a device to enter commercial distribution, numerous regulatory requirements continue to apply. These include, among others:</w:t>
      </w:r>
    </w:p>
    <w:p>
      <w:pPr>
        <w:spacing w:after="0" w:line="277" w:lineRule="exact"/>
        <w:rPr>
          <w:sz w:val="20"/>
          <w:szCs w:val="20"/>
          <w:color w:val="auto"/>
        </w:rPr>
      </w:pPr>
    </w:p>
    <w:p>
      <w:pPr>
        <w:ind w:left="1300" w:right="60" w:hanging="158"/>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FDA's Quality System Regulation, or QSR, which requires manufacturers, including third party manufacturers, to follow quality assurance procedures during all aspects of the manufacturing process;</w:t>
      </w:r>
    </w:p>
    <w:p>
      <w:pPr>
        <w:spacing w:after="0" w:line="75"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Labeling regulations including unique device identification;</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Clearance of a 510(k) for certain product modifications;</w:t>
      </w:r>
    </w:p>
    <w:p>
      <w:pPr>
        <w:spacing w:after="0" w:line="130" w:lineRule="exact"/>
        <w:rPr>
          <w:rFonts w:ascii="Arial" w:cs="Arial" w:eastAsia="Arial" w:hAnsi="Arial"/>
          <w:sz w:val="18"/>
          <w:szCs w:val="18"/>
          <w:color w:val="auto"/>
        </w:rPr>
      </w:pPr>
    </w:p>
    <w:p>
      <w:pPr>
        <w:ind w:left="1300" w:right="260" w:hanging="158"/>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86"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Medical device correction and removal (recall) reporting regulations; and</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order of repair, replacement or refund.</w:t>
      </w:r>
    </w:p>
    <w:p>
      <w:pPr>
        <w:spacing w:after="0" w:line="3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Additionally, we and the manufacturing facilities of our suppliers are subject to unannounced inspections by FDA to determine our compliance with the QSR and other applicable regulations described above. The FDA can issue warning letters or untitled letters, impose injunctions, suspend regulatory clearance or approvals,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may also initiate action for criminal prosecution of such violations.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30" w:right="29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Outside the U.S.</w:t>
      </w:r>
    </w:p>
    <w:p>
      <w:pPr>
        <w:spacing w:after="0" w:line="30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regulatory review process varies from country to country and may in some cases require the submission of clinical data. Our international sales are subject to regulatory requirements in the countries in which our products are sold. These regulations will be significantly modified in the next couple of years. For example, in May 2017, the EU Medical Devices Regulation (Regulation 2017/745) was adopted. The EU Medical Devices Regulation, or EU MDR, repeals and replaces the EU Medical Devices Directive. The EU MDR, among other things, is intended to establish a uniform, transparent, predictable and sustainable regulatory framework across the EEA for medical devices and ensure a high level of safety and health while supporting innovation. The EU MDR will, however, only become applicable three years after publication (in May 2020). Once applicable, the new regulations will among other things:</w:t>
      </w:r>
    </w:p>
    <w:p>
      <w:pPr>
        <w:spacing w:after="0" w:line="205" w:lineRule="exact"/>
        <w:rPr>
          <w:sz w:val="20"/>
          <w:szCs w:val="20"/>
          <w:color w:val="auto"/>
        </w:rPr>
      </w:pPr>
    </w:p>
    <w:p>
      <w:pPr>
        <w:ind w:left="1300" w:hanging="15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improve the traceability of medical devices;</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 up a central database to provide comprehensive information on products available in the EU; and</w:t>
      </w:r>
    </w:p>
    <w:p>
      <w:pPr>
        <w:spacing w:after="0" w:line="130" w:lineRule="exact"/>
        <w:rPr>
          <w:rFonts w:ascii="Arial" w:cs="Arial" w:eastAsia="Arial" w:hAnsi="Arial"/>
          <w:sz w:val="18"/>
          <w:szCs w:val="18"/>
          <w:color w:val="auto"/>
        </w:rPr>
      </w:pPr>
    </w:p>
    <w:p>
      <w:pPr>
        <w:ind w:left="1300" w:hanging="158"/>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before they are placed on the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meantime, the current EU Medical Devices Directive continues to apply.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Drug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and Approval</w:t>
      </w:r>
    </w:p>
    <w:p>
      <w:pPr>
        <w:spacing w:after="0" w:line="14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Under the Federal Food, Drug and Cosmetic Act, FDA approval of a new drug application, or NDA, is required before any new drug can be marketed in the U.S. Under the Public Health Service Act, or PHSA, FDA licensure of a biologics license application, or BLA, is required before a biologic can be marketed in the U.S. NDAs and BLAs require extensive studies and submission of a large amount of data by the applicant.</w:t>
      </w:r>
    </w:p>
    <w:p>
      <w:pPr>
        <w:spacing w:after="0" w:line="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generic version of an approved drug is approved by means of an abbreviated new drug application, or ANDA, by which the sponsor demonstrates that the proposed product is the same as the approved, brand-name drug, which is referred to as the “reference listed drug,” or RLD. Generally, an ANDA must contain data and information showing that the proposed generic product and RLD have the same active ingredient, in the same strength and dosage form, to be delivered via the same route of administration, are intended for the same uses and are bioequivalent. This is instead of independently demonstrating the proposed product’s safety and effectiveness, which are inferred from the fact that the product is the same as the RLD, which the FDA previously found to be safe and effective.</w:t>
      </w:r>
    </w:p>
    <w:p>
      <w:pPr>
        <w:spacing w:after="0" w:line="1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currently hold NDAs and ANDAs for liquid solutions (including anticoagulants, intravenous saline and a red blood cell storage solution), which we sell with our blood component and whole blood collection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After the FDA permits a drug to enter commercial distribution, numerous regulatory requirements continue to apply. These include FDA's current Good Manufacturing Practices, which include a series of requirements relating to organization and training of personnel, buildings and facilities, equipment, control of components and drug product containers and closures, production and process controls, quality control and quality assurance, packaging and labeling controls, holding and distribution, laboratory controls and records and reports; labeling regulations; advertising and promotion requirements and restrictions; and regulations regarding conducting recalls of product.</w:t>
      </w:r>
    </w:p>
    <w:p>
      <w:pPr>
        <w:spacing w:after="0" w:line="10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Failure to comply with applicable FDA requirements and restrictions in this area may subject a company to adverse publicity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or biological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Outside the U.S.</w:t>
      </w:r>
    </w:p>
    <w:p>
      <w:pPr>
        <w:spacing w:after="0" w:line="14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must obtain the requisite marketing authorizations from regulatory authorities in foreign countries prior to marketing of a product in those countries. The requirements and process governing product licensing vary from country to country. If we fail to comply with applicable foreign regulatory requirements, we may be subject to, among other things, warning letters or untitled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letters, injunctions, civil, administrative, or criminal penalties, monetary fines or imprisonment, suspension or withdrawal of regulatory approvals, suspension of ongoing clinical studies, refusal to approve pending applications or supplements to applications filed by us, suspension or the imposition of restrictions on operations, product recalls, the refusal to permit the import or export of our products or the seizure or detention of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Conflict Minerals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will be additional costs associated with complying with the disclosure requirements, such as costs related to determining the source of any conflict minerals used in our products. Our supply chain is complex and we may be unable to verify the origins for all metals used in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Fraud and Abuse Laws</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 We have described below some of the key federal, state and foreign healthcare laws and regulations that apply to our business.</w:t>
      </w:r>
    </w:p>
    <w:p>
      <w:pPr>
        <w:spacing w:after="0" w:line="10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federal healthcare program Anti-Kickback Statute prohibits, among other things, knowingly and willfully offering, paying, soliciting or receiving remuneration, directly or indirectly, in cash or in kind, to induce or in return for purchasing, leasing, ordering or arranging for or recommending the purchase, lease or order of any healthcare item or service reimbursable, in whole or in part, under Medicare, Medicaid or other federally financed healthcare programs. This statute has been interpreted to apply to arrangements between manufacturers of federally reimbursed products on one hand and prescribers, purchasers and others in a position to recommend, refer, or order federally reimbursed products on the other. Although there are a number of statutory exemptions and regulatory safe harbors protecting certain common activities from prosecution, the exemptions and safe harbors are drawn narrowly and practices that involve remuneration to those who prescribe, purchase, or recommend medical devices or pharmaceutical and biological products, including certain discounts, or engaging consultants as speakers or consultants, may be subject to scrutiny if they do not fit squarely within the exemption or safe harbor. Our practices may not in all cases meet all of the criteria for safe harbor protection from anti-kickback liability. Moreover, there are no safe harbors for many common practices, such as educational and research grants.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civil False Claims Act.</w:t>
      </w:r>
    </w:p>
    <w:p>
      <w:pPr>
        <w:spacing w:after="0" w:line="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federal civil False Claims Act prohibits, among other things, any person from knowingly presenting, or causing to be presented, a false, fraudulent or materially incomplete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In recent years, companies in the healthcare industry have faced enforcement actions under the federal False Claims Act for, among other things, allegedly providing free product to customers with the expectation that the customers would bill federal programs for the product or causing false claims to be submitted because of the company’s marketing the product for unapproved and thus non-reimbursable, uses. False Claims Act liability is potentially significant in the healthcare industry because the statute provides for treble damages and mandatory penalties of tens of thousands of dollars per false claim or statement. Healthcare companies also are subject to other federal false claims laws, including, among others, federal criminal healthcare fraud and false statement statutes that extend to non-government health benefit programs.</w:t>
      </w:r>
    </w:p>
    <w:p>
      <w:pPr>
        <w:spacing w:after="0" w:line="8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or HITECH, among other things, imposes criminal and civil liability for knowingly and willfully executing a scheme to defraud any healthcare benefit program, including private third 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3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the Physician Payment Sunshine Act, implemented as the Open Payments program, requires manufacturers of certain products reimbursed by Medicare, Medicaid, or the Children’s Health Insurance Program to track and report to the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30" w:right="2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federal government payments and transfers of value that they make to physicians and teaching hospitals and ownership interests held by physicians and their family and provides for public disclosures of these data.</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Many states have adopted analogous laws and regulations, including state anti-kickback and false claims laws, which may apply to items or services reimbursed under Medicaid and other state programs or, in several states, regardless of the payor. Several states have enacted legislation requiring pharmaceutical and medical device companies to, among other things, establish marketing compliance programs; file periodic reports with the state, including reports on gifts and payments to individual health care providers; make periodic public disclosures on sales, marketing, pricing, clinical trials and other activities; and/or register their sales representatives. Some states prohibit specified sales and marketing practices, including the provision of gifts, meals, or other items to certain health care providers and/or offering co-pay support to patients for certain prescription drugs.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Other countries, including a number of EU Member States, have laws of similar application.</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of March 30, 2019, we employed the full-time equivalent of 3,216 persons.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Reports and Other Information</w:t>
      </w:r>
    </w:p>
    <w:p>
      <w:pPr>
        <w:spacing w:after="0" w:line="13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All of our corporate governance materials, including the Principles of Corporate Governance, Code of Conduct and the charters of the Audit, Compensation and Governance and Compliance Committees are published on the Investor Relations section of our website at </w:t>
      </w:r>
      <w:r>
        <w:rPr>
          <w:rFonts w:ascii="Arial" w:cs="Arial" w:eastAsia="Arial" w:hAnsi="Arial"/>
          <w:sz w:val="18"/>
          <w:szCs w:val="18"/>
          <w:u w:val="single" w:color="auto"/>
          <w:color w:val="0000FF"/>
        </w:rPr>
        <w:t>www.haemonetics.com</w:t>
      </w:r>
      <w:r>
        <w:rPr>
          <w:rFonts w:ascii="Arial" w:cs="Arial" w:eastAsia="Arial" w:hAnsi="Arial"/>
          <w:sz w:val="18"/>
          <w:szCs w:val="18"/>
          <w:color w:val="auto"/>
        </w:rPr>
        <w:t>. On this web site the public can also access, free of charge, our annual, quarterly and current reports and other documents filed or furnished to the Securities and Exchange Commission, or SEC, as soon as reasonably practicable after we electronically file such material with, or furnish it to, the SEC. The SEC maintains an internet site (</w:t>
      </w:r>
      <w:r>
        <w:rPr>
          <w:rFonts w:ascii="Arial" w:cs="Arial" w:eastAsia="Arial" w:hAnsi="Arial"/>
          <w:sz w:val="18"/>
          <w:szCs w:val="18"/>
          <w:u w:val="single" w:color="auto"/>
          <w:color w:val="0000FF"/>
        </w:rPr>
        <w:t>http://www.sec.gov</w:t>
      </w:r>
      <w:r>
        <w:rPr>
          <w:rFonts w:ascii="Arial" w:cs="Arial" w:eastAsia="Arial" w:hAnsi="Arial"/>
          <w:sz w:val="18"/>
          <w:szCs w:val="18"/>
          <w:color w:val="auto"/>
        </w:rPr>
        <w:t>) that contains reports, proxy and information statements and other information regarding issuers that file documents electronically.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Certain statements that we make from time to time, including statements contained in this Annual Report on Form 10-K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impact of planned acquisitions or dispositions; market position and expenditures.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are some important factors that could cause our actual results to differ from our expectations in any forward-looking statements. For further discussion of these and other factors, see Item 1A. Risk Factors in this report.</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1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70" w:lineRule="exact"/>
        <w:rPr>
          <w:rFonts w:ascii="Arial" w:cs="Arial" w:eastAsia="Arial" w:hAnsi="Arial"/>
          <w:sz w:val="18"/>
          <w:szCs w:val="18"/>
          <w:color w:val="auto"/>
        </w:rPr>
      </w:pPr>
    </w:p>
    <w:p>
      <w:pPr>
        <w:ind w:left="660" w:right="6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 care cost containment, including the continued consolidation among health care providers and other market participants;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continuity, availability and pricing of plastic and other raw materials, finished goods and components used in the manufacturing of our products (including those purchased from sole-source suppliers) and the related continuity of our manufacturing and distribution;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new products or enhancements on commercially acceptable terms or at all;</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any planned or completed acquisition or divestiture by the Company may not be realized or may take longer to realize than expected;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regulatory approvals in a timely manner consistent with cost estimates;</w:t>
      </w:r>
    </w:p>
    <w:p>
      <w:pPr>
        <w:spacing w:after="0" w:line="225"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comply with established and developing U.S. and foreign legal and regulatory requirements, including the U.S. Foreign Corrupt Practices Act, or FCPA, and similar laws in other jurisdictions, as well as U.S. and foreign export and import restrictions and tariffs;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Complexity Reduction Initiative;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and attract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meet our existing debt obligations and raise additional capital when desired on terms reasonably acceptable to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and the possibility that the Company’s share repurchase program may be delayed, suspended or discontinued;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communicable diseases on demand for our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Investors should understand that it is not possible to predict or identify all such factors and should not consider the risks described above and in Item 1A. Risk Factors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0"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other information contained in this Annual Report on Form 10-K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Please refer to the cautionary statements made under the heading "Cautionary Statement Regarding Forward-Looking Information" at the end of Item 1 of this Annual Report on Form 10-K for more information on the qualifications and limitations on forward-looking statements.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business strategy does not yield the expected results or we fail to implement the necessary changes to our operations, we could see material adverse effects on our business, financial condition or results of operations.</w:t>
      </w:r>
    </w:p>
    <w:p>
      <w:pPr>
        <w:spacing w:after="0" w:line="170"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Our products are organized in three categories for purposes of evaluating and developing their growth potential: Plasma, Blood Center and Hospital. 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have not correctly identified the product categories with greatest growth potential, we will not allocate our resources appropriately which could have a material adverse effect on our business, financial condition or results of operations. Further, if we are unable to reduce costs and complexity in our Blood Center business unit, we will obtain lower than expected cash flows to fund our future growth and capital needs. This could have a material adverse effect on our liquidity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reductions in purchasing from or loss of a significant customer could adversely affect our business.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fiscal 2019, our two largest Plasma customers each accounted for more than 10% of our net revenues and our ten largest customers accounted for approximately 52% of our net revenues. If any of our largest customers materially reduce their purchases from us or terminate their relationship with us for any reason, including material decreases in demand for plasma or development of alternative processes, we could experience an adverse effect on our results of operations or financial condition.</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Two of our four largest Plasma customers have contracts that are subject to renewal before the end of fiscal 2021. In the event that we do not extend our current contracts or enter into new contracts with these customers on acceptable terms, our revenues and operating income could be negatively impacted in a manner that could have a material adverse effect on our results of operations or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Defects or quality issues associated with our products could adversely affect the results of operations.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Quality is extremely important to us and our customers due to the serious and costly consequences of product failure. Manufacturing or design defects, component failures, 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the FDA or similar governmental authorities in other countries),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In some circumstances, such adverse events could also cause delays in regulatory approval of new products or the imposition of post-market approval requirements.</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fiscal 2018, one of our suppliers began production of NexSys PCS and we expanded production utilizing a second supplier during fiscal 2019. If our suppliers fail to produce NexSys PCS devices that meet our quality standards, we could have delays in customer adoption and costs to remediate the deficient quality which would have a negative effect on our revenues, gross margins, operating income and return on invested capital.</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convert customers to our NexSys platform, meet customer placement demands or negotiate competitive pricing, we may not realize the intended benefits of our investment.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focused heavily on the development and commercialization of our NexSys platform, comprised of both the NexSys PCS plasmapheresis system and NexLynk DMS software. After the commercial launch of our NexSys platform in fiscal 2019, we entered into several customer contracts providing for conversion to NexSys during fiscal 2019. If additional customers do not adopt NexSys or they do and we are unable to procure sufficient NexySys PCS devices from our contract manufacturers to</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meet demand or receive a price that provides an inadequate return on our investment, or if such customer adoption does not occur within the expected timeframe, we may not realize the full intended benefits of our investment.</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systems and subject to privacy and security laws and a cyber-attack or other breach of these systems could have a material adverse effect on our business, financial condition or results of operations.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increasingly rely on information technology systems to process, transmit and store electronic information for our day-to-day operations and for our customers, including sensitive personal information and proprietary or confidential information. Additionally, certain of our products collect data regarding patients and donors and some connect to our systems for maintenance and other purposes. Similar to other large multi-national companies, the size and complexity of our information technology systems makes them vulnerable to a cyber-attack, malicious intrusion, breakdown, destruction, loss of data privacy, or other significant disruption. We also outsource certain elements of our information technology systems to third parties that, as a result of this outsourcing, could have access to certain confidential information and whose systems may also be vulnerable to these types of attacks or disruptions. Security threats, including cyber and other attacks are becoming increasingly sophisticated, frequent, and adaptive. Accordingly,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hack into our products to obtain data relating to patients with our products or our proprietary information. Any failure by us or third parties we work with to maintain or protect our respective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Additionally, the legal and regulatory environment surrounding information security and privacy is increasingly demanding, with the imposition of new and changing requirements across businesses. We are required to comply with increasingly complex and changing legal and regulatory requirements that govern the collection, use, storage, security, transfer, disclosure and other processing of personal data, including The Health Insurance Portability and Accountability Act, The Health Information Technology for Economic and Clinical Health Act and the European Union’s General Data Protection Regulation, or GDPR. In May 2018, the GDPR superseded current European Union data protection legislation, imposing more stringent European Union data protection requirements and providing for greater penalties for noncompliance. We or our third-party providers and business partners may also be subjected to audits or investigations by one or more domestic or foreign government agencies relating to compliance with information security and privacy laws and regulations, and noncompliance with the laws and regulations could results in material fines or litigation.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outsource certain aspects of our business to a single third-party vendor that subjects us to risks, including disruptions in business and increased costs.</w:t>
      </w:r>
    </w:p>
    <w:p>
      <w:pPr>
        <w:spacing w:after="0" w:line="26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Currently, we rely on a single vendor to support several of our business processes, including customer service and support and elements of enterprise technology, procurement, accounting and human resources. We make diligent efforts to ensure that the provider of these outsourced services is observing proper internal control practices. However, there are no guarantees that failures will not occur. Accordingly, we are subject to the risks associated with the vendor’s ability to successfully provide the necessary services to meet our needs.</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our vendor is unable to adequately protect our data or information is lost, if our ability to deliver our services is interrupted (including as a result of natural disasters, strikes, terrorism attacks or other adverse events in the countries in which the vendor operates), if our vendor's fees are higher than expected, or if our vendor makes mistakes in the execution of operations support, then our business and operating results may be negatively affected.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0"/>
        <w:spacing w:after="0" w:line="381" w:lineRule="auto"/>
        <w:rPr>
          <w:sz w:val="20"/>
          <w:szCs w:val="20"/>
          <w:color w:val="auto"/>
        </w:rPr>
      </w:pPr>
      <w:r>
        <w:rPr>
          <w:rFonts w:ascii="Arial" w:cs="Arial" w:eastAsia="Arial" w:hAnsi="Arial"/>
          <w:sz w:val="15"/>
          <w:szCs w:val="15"/>
          <w:b w:val="1"/>
          <w:bCs w:val="1"/>
          <w:i w:val="1"/>
          <w:iCs w:val="1"/>
          <w:color w:val="auto"/>
        </w:rPr>
        <w:t>A significant portion of our revenue derives from the sale of blood collection supplies. Declines in the number of blood collection procedures have adversely impacted our business and future declines may have an adverse effect on our business, financial condition and results of operations.</w:t>
      </w:r>
    </w:p>
    <w:p>
      <w:pPr>
        <w:spacing w:after="0" w:line="10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demand for whole blood disposable products in the U.S. continued to decrease in fiscal 2019 due to sustained declines in transfusion rates caused by hospitals' improved blood management techniques and protocols. In response to this trend, U.S. blood center collection groups prefer single source vendors for their whole blood collection products and are primarily focused on obtaining the lowest average selling prices. We expect to see continued declines in transfusion rates and the market to remain price-focused and highly competitive for the foreseeable future. Continued declines in this market could have a material adverse effect on our liquidity and results of operations.</w:t>
      </w:r>
    </w:p>
    <w:p>
      <w:pPr>
        <w:spacing w:after="0" w:line="18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Consolidation of the healthcare providers and blood collectors has increased demand for price concessions and caused the exclusion of suppliers from significant market segments, which could have an adverse effect on our business, financial condition and results of operations.</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Political, economic and policy influences are causing the healthcare and blood collection industries to make substantial structural and financial changes that affect our results of operations. Government and private sector initiatives limiting the growth of healthcare costs and causing structural reforms in healthcare delivery, including the reduction in blood use and reduced payments for care. These trends have placed greater pricing pressure on suppliers and, in some cases, decreased average selling prices and increased the number of sole source relationships. This pressure impacts our Hospital and Blood Center businesses.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influence of group purchasing organizations in the U.S., integrated delivery networks and large single accounts has the potential to put price pressure on our Hospital business. It also puts price pressure on our U.S.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spacing w:after="0" w:line="18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 interruption in our ability to manufacture our products, obtain key components or raw materials, or the failure of a sole source supplier may adversely affect our business.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a complex global supply chain that involves integrating key suppliers and our manufacturing capacity into a global movement of components and finished goods.</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manufacture certain key disposables at single locations with limited alternate facilities. If an event occurs that results in damage to one or more of these facilities, we may be unable to supply the relevant products at previous levels or at all for some period. Additionally, for reasons of quality assurance or cost effectiveness, we purchase certain finished goods, components and raw materials from sole suppliers, notably JMS Co. Ltd., Kawasumi Laboratories, Leica Biosystems Melbourne Pty. Ltd. and Sparton Medical Systems Colorado LLC, who have their own complex supply chains. Any disruption to one or more of our suppliers’ production or delivery of sufficient volumes of components conforming to our specifications could disrupt or delay our ability to deliver finished products to our customers. For example, we purchase components in Asia for use in manufacturing in the U.S., Puerto Rico and Mexico. We source all of our apheresis equipment from Asia and regularly ship finished goods from the U.S., Puerto Rico and Mexico to the rest of the world.</w:t>
      </w:r>
    </w:p>
    <w:p>
      <w:pPr>
        <w:spacing w:after="0" w:line="16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Due to the high standards and stringent requirements of the FDA and other similar non-U.S. regulatory agencies applicable to manufacturing our products, such as the FDA's Quality System Regulation and Good Manufacturing Practices, we may not be able to quickly establish additional or replacement sources for certain raw materials, components or finished goods. A reduction or interruption in manufacturing, or an inability to secure alternative sources of raw materials, components or finished goods on commercially reasonable terms or in a timely manner, could compromise our ability to manufacture our products on a timely and cost-competitive basis, which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Plastics are the principal component of our disposables, which are the main source of our revenues. Any change in the price, composition or availability of the plastics or resins we purchase could adversely affect our business.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face risks related to price, composition and availability of the plastic raw materials used in our business. Climate change (including laws or regulations passed in response thereto) could increase our costs, in particular our costs of supply, energy and transportation/freight. Material or sustained increases in the price of petroleum or petroleum derivatives could have an adverse impact on the costs to procure plastic raw materials and the costs of our transportation/freight. Increases in the costs of other commodities also may affect our procurement costs to a lesser degree.</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composition of the plastic we purchase is also important. Today, we purchase plastics that contain phthalates, which are used to make plastic malleable. Should plastics with phthalates become unavailable due to regulatory changes, we may be required to obtain regulatory approvals from FDA and foreign authorities for a number of products.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we have not experienced shortages in the past, any interruption in the supply for certain plastics could have a material impact on our business by limiting our ability to manufacture and sell the products that represent a significant portion of our revenues. These outcomes may in turn result in customers transitioning to available competitive products, loss of market share, negative publicity, reputational damage, loss of customer confidence or other negative consequences (including a decline in stock price).</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product lines through internal research and development, our business may be materially and adversely affected.</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significant element of our strategy is to increase revenue growth by focusing on innovation and new product development. New product development requires significant investment in research and development, clinical trials and regulatory approvals. The results of our product development efforts may be affected by a number of factors, including our ability to anticipate customer needs, innovate and develop new products and technologies, successfully complete clinical trials, obtain regulatory approvals in the United States and abroad, manufacture products in a cost-effective manner, obtain appropriate intellectual property protection for our products, and gain and maintain market acceptance of our products. In addition, patents attained by others could preclude or delay our commercialization of a product. There can be no assurance that any products now in development or that we may seek to develop in the future will achieve technological feasibility, obtain regulatory approval or gain market acceptance.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business development activities are unsuccessful, we may not realize the intended benefits.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We may seek to supplement our organic growth through strategic acquisitions, investments and alliances. Such transactions are inherently risky and require significant effort and management attention. The success of any acquisition, investment or alliance may be affected by a number of factors, including our ability to properly assess and value the potential business opportunity or to successfully integrate any business we may acquire into our existing business. Promising partnerships and acquisitions may also not be completed for reasons such as competition among prospective partners or buyers, the inability to reach satisfactory terms, the need for regulatory approvals or the existence of economic conditions affecting our access to capital for acquisitions and other capital investments. If our business development activities are unsuccessful, we may not realize the intended benefits of such activities, including that acquisition and integration costs may be greater than expected or the possibility that expected return on investment synergies and accretion will not be realized or will not be realized within the expected timeframe.</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As a medical device manufacturer we are subject to a number of laws and regulations. Non-compliance with those laws or regulations could adversely affect our financial condition and results of operations.</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manufacture, distribution and marketing of our products are subject to regulation by the FDA and other non-U.S. regulatory bodies. Our operations are also subject to continuous review and monitoring by the FDA and other regulatory authorities. Failure to substantially comply with applicable regulations could subject our products to recall or seizure by government authorities, or an order to suspend manufacturing activities. If our products were determined to have design or manufacturing flaws, this could result in their recall or seizure. Either of these situations could also result in the imposition of fines.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the European Union regulatory bodies finalized a new Medical Device Regulation (MDR) in calendar year 2017, replacing the existing directives and providing three years for transition and compliance. When implemented in 2020, the MDR will change several aspects of the existing regulatory framework, such as clinical data requirements, and introduce new ones, such as Unique Device Identification. We, and the notified bodies who will oversee compliance to the new MDR, face uncertainties as the MDR is rolled out and enforced, creating risks in several areas including the CE marking process and data transparency in the upcoming years.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30"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or our suppliers fail to comply with ongoing regulatory requirements, our products could be subject to restrictions or withdrawal from the market.</w:t>
      </w:r>
    </w:p>
    <w:p>
      <w:pPr>
        <w:spacing w:after="0" w:line="2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product for which we obtain clearance or approval, and the manufacturing processes, reporting requirements, post- approval clinical data and promotional activities for such product, will be subject to continued regulatory review, oversight and periodic inspection by the FDA and other domestic and foreign regulatory bodies. In particular, we and our third-party suppliers must comply with the FDA's Quality System Regulation or current Good manufacturing Practices requirements (depending on the products at issue).</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future failure by us or one of our suppliers to comply with applicable statutes and regulations administered by the FDA, or the failure to timely and adequately respond to any adverse inspectional observations or product safety issues, could result in enforcement actions.</w:t>
      </w:r>
    </w:p>
    <w:p>
      <w:pPr>
        <w:spacing w:after="0" w:line="17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Any FDA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inability to obtain, or any delay in obtaining, any necessary U.S. or foreign regulatory clearances or approvals for our newly developed products or product enhancements could harm our business and prospects.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products are subject to a high level of regulatory oversight. Most medical devices cannot be marketed in the U.S. without 510(k) clearance or premarket approval by the FDA. Our inability to obtain, or any delay in obtaining, any necessary U.S. or foreign regulatory clearances or approvals for newly developed products or product enhancements could harm our business and prospects. The process of obtaining clearances and approvals can be costly and time consuming. In addition, there is a risk that any approvals or clearances, once obtained, may be withdrawn or modified.</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Delays in receipt of, or failure to obtain, necessary clearances or approvals for our new products could delay or preclude realization of product revenues from new products or result in substantial additional costs which could decrease our profitability.</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payers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shifting commercial compliance environment and the need to build and maintain robust and expandable systems to comply with different compliance or reporting requirements in multiple jurisdictions increase the possibility that a healthcare or pharmaceutical company may fail to comply fully with one or more of these requirements. Efforts to ensure that our business arrangements with third parties will comply with applicable healthcare laws and regulations may involve substantial costs. It is possible that governmental authorities will conclude that our business practices do not comply with applicable fraud and abuse or other healthcare laws and regulations or guidance.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b w:val="1"/>
          <w:bCs w:val="1"/>
          <w:i w:val="1"/>
          <w:iCs w:val="1"/>
          <w:color w:val="auto"/>
        </w:rPr>
        <w:t>As a substantial amount of our revenue comes from outside the U.S., we are subject to geopolitical events, economic volatility, violations of anti-corruption laws, export and import restrictions and tariffs, decisions by local regulatory authorities and the laws and medical practices in foreign jurisdictions.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do business in over 90 countries and have distributors in approximately 80 of these countries. This exposes us to currency fluctuation, geopolitical risk, economic volatility, anti-corruption laws, export and import restrictions, local regulatory authorities and the laws and medical practices in foreign jurisdictions.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there are sanctions or restrictions on the flow of capital that prevent product importation or receipt of payments in Russia or China, our business could be adversely affected.</w:t>
      </w:r>
    </w:p>
    <w:p>
      <w:pPr>
        <w:spacing w:after="0" w:line="170"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Our international operations are governed by the U.S. Foreign Corrupt Practices Act, or FCPA, and other similar anti-corruption laws in other countries. Generally, these laws prohibit companies and their business partners or other intermediaries from</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approximately 80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Export of U.S. technology or goods manufactured in the U.S. to some jurisdictions requires special U.S. export authorization or local market controls that may be influenced by factors, including political dynamics, outside our control.</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170"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We sell our products in certain emerging economies which exposes us to less mature regulatory systems, more volatile markets for our products and greater credit risks. A loss of funding for our products or changes to the regulatory regime could lead to lost revenue or account receivables.</w:t>
      </w:r>
    </w:p>
    <w:p>
      <w:pPr>
        <w:spacing w:after="0" w:line="10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There are risks with doing business in emerging economies, such as Brazil, Russia, India and China. These economies tend to have less mature product regulatory systems and more volatile financial markets. In addition, the government controlled healthcare system's ability to invest in our products and systems may abruptly shift due to changing government priorities or funding capacity. Our ability to sell products in these economies is dependent upon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165"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In many of the international markets in which we do business, including certain parts of Europe, South America, the Middle East and Asia, our employees, agents or distributors offer to sell our products in response to public tenders issued by various governmental agencies.</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we expect from our Complexity Reduction Initiative.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November 1, 2017, we committed to and commenced our Complexity Reduction Initiative, also referred to in this report as the 2018 Program, a company-wide restructuring program designed to improve operational performance and reduce cost, freeing up resources to invest in accelerated growth. While cost savings from the 2018 Program to date have been consistent with our expectations, it is still possible that events and circumstances, such as financial or strategic difficulties, delays and unexpected costs may occur that could result in our not realizing all of the anticipated benefits or our not realizing the anticipated benefits on our expected timetable. The 2018 Program could also yield unintended consequences, such as business disruption, the loss of institutional knowledge as a result of turnover and reduced employee productivity, which could negatively affect our business, sales, financial condition and results of operations. Our inability to realize all of the anticipated benefits from the 2018 Program could adversely affect our ability to fund new business initiatives and as a result have a material adverse effect on our business, results of operations, cash flows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0"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attract and retain key personnel needed to successfully operate the business.</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ability to compete effectively depends on our ability to attract and retain key employees, including people in senior management, sales, marketing and R&amp;D positions. Our ability to recruit and retain such talent will depend on a number of factors, including hiring practices of our competitors, compensation and benefits, work location, work environment and industry economic conditions.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2018, we announced that we had entered into a lease for office space in Boston, Massachusetts that will serve as our new corporate headquarters and replace our existing location in Braintree, Massachusetts. Although we believe our move to Boston, which is anticipated to occur in the third quarter of fiscal 2020, will help us to attract and retain key talent and provide a dynamic space to engage our employees, competition for top talent in the healthcare market, delays in and costs associated with development and occupancy of the new office, and the increased cost or commuting time for current employees relocating or traveling to Boston could impact our ability to realize the intended results of the move. If we cannot effectively recruit and retain qualified employees, our business could suffer.</w:t>
      </w:r>
    </w:p>
    <w:p>
      <w:pPr>
        <w:spacing w:after="0" w:line="19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also effected organizational and strategic changes in the last several years, including our Complexity Reduction Initiative, which have resulted in workforce reductions. If we fail to effectively manage our ongoing organizational and strategic changes in a manner that allows us to retain and attract talent, our financial condition, results of operations and reputation, as well as our ability to successfully attract, motivate and retain key employees, could be harmed.</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operate in an industry susceptible to significant product liability claims. Product liability claims could damage our reputation and impair our ability to market our products or obtain professional or product liability insurance, or increase the cost of such insurance.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products are relied upon by medical personnel in connection with the treatment of patients and the collection of blood or blood components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Such litigation could damage our reputation and, therefore, impair our ability to market our products or obtain professional or product liability insurance, or increase the cost of such insurance. While we believe that our current product liability insurance coverage is sufficient, there is no assurance that such coverage will be adequate to cover incurred liabilities or that we will be able to obtain acceptable product and professional liability coverage in the future.</w:t>
      </w:r>
    </w:p>
    <w:p>
      <w:pPr>
        <w:spacing w:after="0" w:line="147"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meet our debt obligations or experience a disruption in our cash flows, it could have an adverse effect on our financial condition, results of operations or cost of borrowing.</w:t>
      </w:r>
    </w:p>
    <w:p>
      <w:pPr>
        <w:spacing w:after="0" w:line="170"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We have $336.9 million of debt outstanding at March 30, 2019 that matures on June 15, 2023 under our $350.0 million term loan. The obligations to pay interest and repay the borrowed amounts may restrict our ability to adjust to adverse economic conditions and our ability to fund working capital, capital expenditures, acquisitions or other general corporate requirements. The interest rate on the loan is variable and subject to change based on market forces. Fluctuations in interest rates could adversely affect our profitability and cash flows.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as a global corporation, we have significant cash reserves held in foreign countries. Some of these balances may not be immediately available to repay our debt.</w:t>
      </w:r>
    </w:p>
    <w:p>
      <w:pPr>
        <w:spacing w:after="0" w:line="170"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Our credit facilities contain financial covenants that require us to maintain specified financial ratios and make interest and principal payments. If we are unable to satisfy these covenants, we may be required to obtain waivers from our lenders. No assurance can be made that our lenders would grant such waivers on favorable terms, or at all and we could be required to repay any borrowed amounts on short notice.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operations and plans for future growth may require additional capital that may not be available to us, or only available to us on unfavorable terms.</w:t>
      </w:r>
    </w:p>
    <w:p>
      <w:pPr>
        <w:spacing w:after="0" w:line="260" w:lineRule="exact"/>
        <w:rPr>
          <w:sz w:val="20"/>
          <w:szCs w:val="20"/>
          <w:color w:val="auto"/>
        </w:rPr>
      </w:pPr>
    </w:p>
    <w:p>
      <w:pPr>
        <w:jc w:val="both"/>
        <w:ind w:right="480"/>
        <w:spacing w:after="0" w:line="277" w:lineRule="auto"/>
        <w:rPr>
          <w:sz w:val="20"/>
          <w:szCs w:val="20"/>
          <w:color w:val="auto"/>
        </w:rPr>
      </w:pPr>
      <w:r>
        <w:rPr>
          <w:rFonts w:ascii="Arial" w:cs="Arial" w:eastAsia="Arial" w:hAnsi="Arial"/>
          <w:sz w:val="18"/>
          <w:szCs w:val="18"/>
          <w:color w:val="auto"/>
        </w:rPr>
        <w:t>Our operations and plans for future growth may require us to raise additional capital in the future. Our ability to issue additional debt or enter into other financing arrangements on acceptable terms could be adversely affected by our debt levels, unfavorable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3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changes in economic conditions generally or uncertainties that affect the capital markets. Higher borrowing costs or the inability to access capital markets could adversely affect our ability to support future growth and operating requirements and, as a result, our business, financial condition and results of operations could be adversely affected.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within our Management's Discussion and Analysis of Financial Condition and Results of Operations contained in Item 7 of this Annual Report on Form 10-K for further discussion of our debt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adversely affect our cash flows and results of operations.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International revenues and expenses account for a substantial portion of our operations. In fiscal 2019, our international revenues accounted for 37.3%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amounts that have been accrued.</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taxation in numerous countries, states and other jurisdictions. In preparing our financial statements, we record the amount of tax payable in each of the jurisdictions in which we operate. Our future effective tax rate, however, may be lower or higher than prior years due to numerous factors, including a change in our geographic earnings mix, changes in the measurement of our deferred taxes and recently enacted and future tax law changes in jurisdictions in which we operate. Changes in our operations, including headcount in Switzerland, Puerto Rico or Malaysia, could adversely affect our tax rate due to favorable tax rulings in these jurisdictions. We are also subject to tax audits in various jurisdictions and tax authorities may disagree with certain positions we have taken and assess additional taxes. Any of these factors could cause us to experience an effective tax rate significantly different from previous periods or our current expectations, which could adversely affect our business, results of operations and cash flows.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tax laws or exposure to additional income tax liabilities could have a material impact on our financial condition, results of operations and/or liquidity.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subject to income taxes, non-income based taxes and tax audits, in both the U.S. and various foreign jurisdictions. Tax authorities may disagree with certain positions we have taken and assess additional taxes. We regularly assess the likely outcomes of these audits in order to determine the appropriateness of our tax provision and have established contingency reserves for material, known tax exposures. However, the calculation of such tax exposures involves the application of complex tax laws and regulations in many jurisdictions, as well as interpretations as to the legality under various rules in certain jurisdictions. Therefore,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Changes in tax laws and regulations, or their interpretation and application, in the jurisdictions where we are subject to tax could materially impact our effective tax rate. For example, the U.S. enacted the Tax Cuts and Jobs Act, or the Act, on December 22, 2017, as a result of which we recognized in fiscal 2018 a provisional amount of $2.0 million as reasonable estimate of the impact of the provisions of the Act. As of December 29, 2018, we completed our accountings for the tax effects of the enactment of the Act and did not recognize any material adjustments to the provisional tax expense previously recorded. Certain provisions of the Act and the regulations issued thereunder could have a significant impact on our future results of operations.</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Additionally, the U.S. Congress, government agencies in non-U.S. jurisdictions where we and our affiliates do business and the Organization for Economic Co-operation and Development, or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fighting base erosion and profit shifting. As a result, the tax laws in the U.S. and other countries in which we and our affiliates do business could change on a prospective or retroactive basis and any such changes could materially adversely affect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30"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share repurchase program could affect the price of our common stock and increase volatility and may be suspended or terminated at any time, which may result in a decrease in the trading price of our common stock.</w:t>
      </w:r>
    </w:p>
    <w:p>
      <w:pPr>
        <w:spacing w:after="0" w:line="170"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On May 7, 2019, we announced that our Board of Directors authorized the repurchase of up to $500 million of our outstanding common stock over the next two years. Under the share repurchase program, we are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will be determined by us and will depend on a number of factors, including market conditions, applicable legal requirements and compliance with the terms of loan covenants. The share repurchase program may be suspended, modified or discontinued at any time and we have obligation to repurchase any amount of its common stock under the program. Repurchases pursuant to our share repurchase program could affect our stock price and increase its volatility. The existence of a share repurchase program could also cause our stock price to be higher than it would be in the absence of such a program and could potentially reduce the market liquidity for our common stock. There can be no assurance that any share repurchases will enhance stockholder value because the market price of our common stock may decline below the levels at which we repurchased our common stock. Although our share repurchase program is intended to enhance long-term stockholder value, short-term stock price fluctuations could reduce the program’s effectiveness. Refer to Note 5, </w:t>
      </w:r>
      <w:r>
        <w:rPr>
          <w:rFonts w:ascii="Arial" w:cs="Arial" w:eastAsia="Arial" w:hAnsi="Arial"/>
          <w:sz w:val="16"/>
          <w:szCs w:val="16"/>
          <w:i w:val="1"/>
          <w:iCs w:val="1"/>
          <w:color w:val="auto"/>
        </w:rPr>
        <w:t>Earnings per Share</w:t>
      </w:r>
      <w:r>
        <w:rPr>
          <w:rFonts w:ascii="Arial" w:cs="Arial" w:eastAsia="Arial" w:hAnsi="Arial"/>
          <w:sz w:val="16"/>
          <w:szCs w:val="16"/>
          <w:color w:val="auto"/>
        </w:rPr>
        <w:t>, to our consolidated financial statements contained in Item 8 of this Annual Report on Form 10-K for further discussion.</w:t>
      </w:r>
    </w:p>
    <w:p>
      <w:pPr>
        <w:spacing w:after="0" w:line="169"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b w:val="1"/>
          <w:bCs w:val="1"/>
          <w:i w:val="1"/>
          <w:iCs w:val="1"/>
          <w:color w:val="auto"/>
        </w:rPr>
        <w:t>We are subject to the risks associated with communicable diseases. A significant outbreak of a disease could reduce the demand for our products and affect our ability to provide our customers with products and services.</w:t>
      </w:r>
    </w:p>
    <w:p>
      <w:pPr>
        <w:spacing w:after="0" w:line="170"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An eligible donor’s willingness to donate is affected by concerns about their personal health and safety. Concerns about communicable diseases (such as pandemic flu, SARS, or HIV) could reduce the number of donors, and accordingly reduce the demand for our products for a period of time. A significant outbreak of a disease could also affect our employees’ ability to work, which could limit our ability to produce product and service our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intellectual property may be subject to misappropriation in some countries.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countries, particularly China, do not enforce compliance with laws that protect intellectual property rights with the same degree of vigor as is available under the U.S. and European systems of justice. Further, certain of our intellectual property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intellectual property litigation could be costly and disruptive to us.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products may be determined to infringe another party's patent, which could lead to financial losses or adversely affect our ability to market our products.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There is a risk that one or more of our products may be determined to infringe a patent held by another party. If this were to occur, we may be subject to an injunction or to payment of royalties, or both, which may adversely affect our ability to market the affected product or otherwise have an adverse effect on our results of operations. In addition, competitors may patent technological advances that may give them a competitive advantage or create barriers to entry.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Our owned headquarters facility is located in Braintree, Massachusetts and is approximately 224,000 square feet. In December 2018, we announced our plan to sell the Braintree facility and relocate our global headquarters to a 62,000 square foot leased facility in Boston, Massachusetts.</w:t>
      </w:r>
    </w:p>
    <w:p>
      <w:pPr>
        <w:spacing w:after="0" w:line="14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of March 30, 2019, we owned or leased a total of 49 facilities. Our owned and leased facilities consist of approximately 1.7 million square feet. Included within these properties are 7 manufacturing facilities. We believe all of these facilities are well-maintained and suitable for the operations conducted in them. We consider the following manufacturing facilities to be material to the business.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lease our facility in Leetsdale, Pennsylvania, which is approximately 82,000 square feet and is used for warehousing, distribution and manufacturing operations primarily supporting our Plasma business unit.</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own our facility in Draper, Utah, which is approximately 100,000 square feet and is used for distribution and manufacturing operations supporting our Plasma business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lease our facility in Fajardo, Puerto Rico, which is approximately 115,000 square feet and is used for production of blood filters.</w:t>
      </w:r>
    </w:p>
    <w:p>
      <w:pPr>
        <w:spacing w:after="0" w:line="22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lease 127,000 square feet of space in Tijuana, Mexico. We also own a facility in Tijuana, Mexico that is approximately 182,000 square feet. These facilities are used for the production of whole blood collection kits, plasma, blood center and hospital disposables and intra-plant components.</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own approximately 240,000 square feet of space in Penang, Malaysia, used to manufacture disposable products for our European and Asian customers. We lease the land on which the facility was built and the lease payments have been prepaid. The lease term of 30 years expires in 2043 with an option to renew for a period of no less than 10 years.</w:t>
      </w:r>
    </w:p>
    <w:p>
      <w:pPr>
        <w:spacing w:after="0" w:line="18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We previously owned the facility in Union, South Carolina, which is approximately 86,000 square feet and is used to manufacture sterile solutions that support our Plasma business. On May 21, 2019, we transferred to CSL Plasma Inc. (“CSL”) substantially all of the tangible assets held by Haemonetics relating to the manufacture of anti-coagulant and saline at our Union, South Carolina facility.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own two facilities in Covina, California, that occupy approximately 65,000 square feet and are used for manufacturing and engineering functions.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also include general administration space. We also lease approximately 40,000 square feet of space for warehousing and logistic operations.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facilities are used for the production of whole blood collection kits.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facilities are used by the following business segments: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6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Number of Facilities</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Japan</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91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North America Plasma</w:t>
            </w: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91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r>
        <w:trPr>
          <w:trHeight w:val="257"/>
        </w:trPr>
        <w:tc>
          <w:tcPr>
            <w:tcW w:w="9160" w:type="dxa"/>
            <w:vAlign w:val="bottom"/>
          </w:tcPr>
          <w:p>
            <w:pPr>
              <w:ind w:left="28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w:t>
            </w:r>
          </w:p>
        </w:tc>
      </w:tr>
      <w:tr>
        <w:trPr>
          <w:trHeight w:val="20"/>
        </w:trPr>
        <w:tc>
          <w:tcPr>
            <w:tcW w:w="9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15, </w:t>
      </w:r>
      <w:r>
        <w:rPr>
          <w:rFonts w:ascii="Arial" w:cs="Arial" w:eastAsia="Arial" w:hAnsi="Arial"/>
          <w:sz w:val="18"/>
          <w:szCs w:val="18"/>
          <w:i w:val="1"/>
          <w:iCs w:val="1"/>
          <w:color w:val="auto"/>
        </w:rPr>
        <w:t>Commitments &amp; Contingencies,</w:t>
      </w:r>
      <w:r>
        <w:rPr>
          <w:rFonts w:ascii="Arial" w:cs="Arial" w:eastAsia="Arial" w:hAnsi="Arial"/>
          <w:sz w:val="18"/>
          <w:szCs w:val="18"/>
          <w:color w:val="auto"/>
        </w:rPr>
        <w:t xml:space="preserve"> to the Consolidated Financial Statements in Item 8 of this Annual Report on Form 10-K,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Haemonetics' common stock is listed on the New York Stock Exchange ("NYSE") under the symbol HAE.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146 holders of record of the Company’s common stock as of March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never paid cash dividends on shares of its common stock and does not expect to pay cash dividends in the foreseeable future.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Issuer Purchases of Equity Securities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2019, the Company announced that its Board of Directors had authorized the repurchase of up to $500 million of Haemonetics common shares over the next two years. This new share repurchase program will help to offset the dilutive impact of recent and future employee equity grants. The timing and amounts of activity under the repurchase program will be at management’s discretion with the intent of beginning activity under the program during fiscal 2020.</w:t>
      </w:r>
    </w:p>
    <w:p>
      <w:pPr>
        <w:spacing w:after="0" w:line="18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February 2018, the Company's Board of Directors authorized the repurchase of up to $260 million of our outstanding common stock through March 30, 2019. As of March 30, 2019, the Company had utilized the full $260 million share repurchase authorization, which resulted in approximately 3.0 million total shares repurchased at an average price of $86.58 per share.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30" w:right="27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Five-Year Review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and employee data)</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Summary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967,579</w:t>
            </w: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903,923</w:t>
            </w:r>
          </w:p>
        </w:tc>
        <w:tc>
          <w:tcPr>
            <w:tcW w:w="20" w:type="dxa"/>
            <w:vAlign w:val="bottom"/>
          </w:tcPr>
          <w:p>
            <w:pPr>
              <w:spacing w:after="0"/>
              <w:rPr>
                <w:sz w:val="21"/>
                <w:szCs w:val="21"/>
                <w:color w:val="auto"/>
              </w:rPr>
            </w:pP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886,116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908,832</w:t>
            </w:r>
          </w:p>
        </w:tc>
        <w:tc>
          <w:tcPr>
            <w:tcW w:w="40" w:type="dxa"/>
            <w:vAlign w:val="bottom"/>
          </w:tcPr>
          <w:p>
            <w:pPr>
              <w:spacing w:after="0"/>
              <w:rPr>
                <w:sz w:val="21"/>
                <w:szCs w:val="21"/>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910,373</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550,043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492,015</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507,622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502,918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475,955</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417,536</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411,908</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378,494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405,914</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434,418</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35,714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39,228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37,556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44,965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54,187</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298,277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316,523</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317,223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337,168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58,593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92,395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5,441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(4,727)</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333,991</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355,751</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397,875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449,856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393,878</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83,545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56,157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(43,942)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Gain on divestiture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w w:val="95"/>
              </w:rPr>
              <w:t>Income (loss) before provision (benefit) for income</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73,633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59,632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(27,476)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(53,416)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31,165</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14,060</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14,268</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55,019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45,572</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(26,268)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(55,579)</w:t>
            </w:r>
          </w:p>
        </w:tc>
        <w:tc>
          <w:tcPr>
            <w:tcW w:w="12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16,897</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21"/>
                <w:szCs w:val="21"/>
                <w:color w:val="auto"/>
              </w:rPr>
            </w:pP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0.33</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4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0.85</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4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51,533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52,755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51,524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51,533</w:t>
            </w:r>
          </w:p>
        </w:tc>
      </w:tr>
      <w:tr>
        <w:trPr>
          <w:trHeight w:val="27"/>
        </w:trPr>
        <w:tc>
          <w:tcPr>
            <w:tcW w:w="4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Weighted average number of shares and common stock</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 shares</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52,942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53,501</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50,910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52,089</w:t>
            </w:r>
          </w:p>
        </w:tc>
      </w:tr>
      <w:tr>
        <w:trPr>
          <w:trHeight w:val="399"/>
        </w:trPr>
        <w:tc>
          <w:tcPr>
            <w:tcW w:w="3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and Statistical Data:</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340,362</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136,474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298,850</w:t>
            </w:r>
          </w:p>
        </w:tc>
        <w:tc>
          <w:tcPr>
            <w:tcW w:w="12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302,535</w:t>
            </w:r>
          </w:p>
        </w:tc>
        <w:tc>
          <w:tcPr>
            <w:tcW w:w="40" w:type="dxa"/>
            <w:vAlign w:val="bottom"/>
          </w:tcPr>
          <w:p>
            <w:pPr>
              <w:spacing w:after="0"/>
              <w:rPr>
                <w:sz w:val="21"/>
                <w:szCs w:val="21"/>
                <w:color w:val="auto"/>
              </w:rPr>
            </w:pP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368,985</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343,979</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332,156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323,862</w:t>
            </w:r>
          </w:p>
        </w:tc>
        <w:tc>
          <w:tcPr>
            <w:tcW w:w="12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337,634</w:t>
            </w:r>
          </w:p>
        </w:tc>
        <w:tc>
          <w:tcPr>
            <w:tcW w:w="40" w:type="dxa"/>
            <w:vAlign w:val="bottom"/>
          </w:tcPr>
          <w:p>
            <w:pPr>
              <w:spacing w:after="0"/>
              <w:rPr>
                <w:sz w:val="21"/>
                <w:szCs w:val="21"/>
                <w:color w:val="auto"/>
              </w:rPr>
            </w:pP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321,948</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118,961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74,799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76,135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102,405</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122,220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109,418</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89,247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89,733</w:t>
            </w:r>
          </w:p>
        </w:tc>
        <w:tc>
          <w:tcPr>
            <w:tcW w:w="12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89,911</w:t>
            </w:r>
          </w:p>
        </w:tc>
        <w:tc>
          <w:tcPr>
            <w:tcW w:w="40" w:type="dxa"/>
            <w:vAlign w:val="bottom"/>
          </w:tcPr>
          <w:p>
            <w:pPr>
              <w:spacing w:after="0"/>
              <w:rPr>
                <w:sz w:val="21"/>
                <w:szCs w:val="21"/>
                <w:color w:val="auto"/>
              </w:rPr>
            </w:pP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86,053</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7"/>
              </w:rPr>
              <w:t>1,274,767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1,237,339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1,238,709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1,319,128</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1,485,417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350,120</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253,682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314,647</w:t>
            </w:r>
          </w:p>
        </w:tc>
        <w:tc>
          <w:tcPr>
            <w:tcW w:w="12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408,000</w:t>
            </w:r>
          </w:p>
        </w:tc>
        <w:tc>
          <w:tcPr>
            <w:tcW w:w="40" w:type="dxa"/>
            <w:vAlign w:val="bottom"/>
          </w:tcPr>
          <w:p>
            <w:pPr>
              <w:spacing w:after="0"/>
              <w:rPr>
                <w:sz w:val="21"/>
                <w:szCs w:val="21"/>
                <w:color w:val="auto"/>
              </w:rPr>
            </w:pP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427,891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667,868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752,429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739,610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721,565</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826,122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Debt as a % of stockholders’ equity</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3,225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3,383</w:t>
            </w:r>
          </w:p>
        </w:tc>
      </w:tr>
      <w:tr>
        <w:trPr>
          <w:trHeight w:val="459"/>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24</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left="60" w:right="180"/>
        <w:spacing w:after="0" w:line="312"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blood and plasma component collection, the surgical suite, and hospital transfusion services. When used in this report, the terms “we,” “us,” “our” and “the Company” mean Haemonetics.</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products are organized into three categories for purposes of evaluating and developing their growth potential: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"Hospital", which is comprised of Hemostasis Management and Cell Processing products, includes devices and methodologies for measuring coagulation characteristics of blood, surgical blood salvage systems, specialized blood cell processing systems, disposables and blood transfusion management software.</w:t>
      </w:r>
    </w:p>
    <w:p>
      <w:pPr>
        <w:spacing w:after="0" w:line="19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which require us to manage the business differently, including reducing costs, shrinking the scope of the current product line, and evaluating opportunities to exit unfavorable customer contracts.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21, 2019, we transferred to CSL Plasma Inc. (“CSL”) substantially all of the tangible assets held by Haemonetics relating to the manufacture of anti-coagulant and saline at our Union, South Carolina facility and CSL assumed certain related liabilities pursuant to the terms of a settlement, release and asset transfer agreement between the parties dated May 13, 2019. At the closing, we received approximately $10 million of proceeds and were concurrently released from our obligations to supply liquid solutions under a 2014 supply agreement with CSL. We will continue to supply liquid solutions to our customers following the asset transfer agreement pursuant to our supplier arrangements with contract manufacturers. We expect that cost savings generated from the asset transfer agreement, including the release from our liquid solutions supply obligations, will be reallocated to general corporate purposes. We recognized an impairment charge in the first quarter of fiscal 2020 of approximately $49 million as a result of this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May 2019, we announced that our Board of Directors had authorized the repurchase of up to $500 million of Haemonetics common shares over the next two years. This new share repurchase program will help to offset the dilutive impact of recent and future employee equity grants. The timing and amounts of activity under the repurchase program will be at management’s discretion with the intent of beginning activity under the program during fiscal 2020.</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February 2018, our Board of Directors authorized the repurchase of up to $260 million of our outstanding common stock through March 30, 2019. As of March 30, 2019, we had utilized the full $260 million share repurchase authorization, which resulted in approximately 3.0 million total shares repurchased at an average price of $86.58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TEG 6s Trauma Indication</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In May 2019, we received FDA clearance for the use of TEG 6s in adult trauma settings. This clearance builds on the current indication for the TEG 6s system in cardiovascular surgery and cardiology procedures, making it the first cartridge-based system available in the U.S. to evaluate the hemostasis condition in adult trauma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NexSys PCS</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and NexLynk DMS</w:t>
      </w:r>
      <w:r>
        <w:rPr>
          <w:rFonts w:ascii="Arial" w:cs="Arial" w:eastAsia="Arial" w:hAnsi="Arial"/>
          <w:sz w:val="25"/>
          <w:szCs w:val="25"/>
          <w:color w:val="auto"/>
          <w:vertAlign w:val="superscript"/>
        </w:rPr>
        <w:t>™</w:t>
      </w:r>
    </w:p>
    <w:p>
      <w:pPr>
        <w:spacing w:after="0" w:line="145" w:lineRule="exact"/>
        <w:rPr>
          <w:sz w:val="20"/>
          <w:szCs w:val="20"/>
          <w:color w:val="auto"/>
        </w:rPr>
      </w:pPr>
    </w:p>
    <w:p>
      <w:pPr>
        <w:ind w:right="480"/>
        <w:spacing w:after="0" w:line="252" w:lineRule="auto"/>
        <w:rPr>
          <w:sz w:val="20"/>
          <w:szCs w:val="20"/>
          <w:color w:val="auto"/>
        </w:rPr>
      </w:pPr>
      <w:r>
        <w:rPr>
          <w:rFonts w:ascii="Arial" w:cs="Arial" w:eastAsia="Arial" w:hAnsi="Arial"/>
          <w:sz w:val="16"/>
          <w:szCs w:val="16"/>
          <w:color w:val="auto"/>
        </w:rPr>
        <w:t>In fiscal 2018, we received FDA 510(k) clearance for our NexSys PCS plasmapheresis system, including our embedded software that activates YES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technology, a yield-enhancing solution. We expect to pursue further regulatory clearances for additional enhancements to the overall product offering.</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30" w:right="29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planned roll out of this new platform includes the placement of a significant number of new devices. Such placements will require meaningful capital expenditures and new customer contracts that reflect pricing and volumes appropriate to these investments. We have entered into several long-term commercial contracts for NexSys PCS devices and NexLynk DMS donor management software and are seeking additional contracts from our other Plasma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Relocation of Corporate Headquarters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December 2018, we announced that we had entered into a lease for office space in Boston, MA that will serve as our new corporate headquarters and replace our existing location in Braintree, MA. We believe our move to Boston, which is anticipated to occur in the third quarter of fiscal 2020, will attract and retain key talent and provide a dynamic space to engage our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and Repayment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15, 2018, we entered into a five year credit agreement with certain lenders which provided for a $350.0 million term loan (the "Term Loan") and a $350.0 million revolving loan (the "Revolving Credit Facility" and together with the Term Loan, the "Credit Facilities"). A portion of the net proceeds of $347.8 million was used to pay down the $253.7 million remaining outstanding balance on our 2012 credit agreement, as amended in fiscal 2014. The remainder of the proceeds are being used to support the launch of the NexSys PCS device and for general corporate purposes. On August 21, 2018, we entered into two interest rate swap agreements to effectively convert $241.9 million of borrowings under our Credit Facilities from a variable rate to a fixed rate of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Supply Agreement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part of our acquisition of the whole blood business from Pall Corporation (“Pall”) in fiscal 2012, Pall agreed to manufacture and install in one of our facilities a filter media manufacturing line (the “HDC line”) for which we agreed to pay Pall approximately $15.0 million (plus pre-approved overages). Pall also agreed to supply media to us for use in leukoreduction filters until such time as we accepted the HDC 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May 2018, we entered into a long-term supply agreement with Pall under which Pall will continue to supply media to us for use in leukoreduction filters.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a condition of the supply agreement, we agreed to accept the HDC line and to make a final payment of $9.0 million to Pall for the HDC line.</w:t>
      </w:r>
    </w:p>
    <w:p>
      <w:pPr>
        <w:spacing w:after="0" w:line="22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As a result of the decision to continue to source media for our leukoreduction filters from Pall rather than producing them internally, we do not expect to utilize the HDC line for future production and expect that the asset’s future cash flows will not be sufficient to recover its carrying value of $19.8 million. Accordingly, during the first quarter of fiscal 2019 we recorded impairment charges of $19.8 million for the HDC 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Recalls</w:t>
      </w: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March 2018, we issued a voluntary recall of specific lots of our Acrodose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Plus and PL Systems sold to our Blood Center customers in the U.S. The recall resulted from reports of low pH readings for platelets stored in the CLX HP bag and, in some instances, an accompanying yellow discoloration of the storage bag. For a period of nine weeks, we were unable to provide our customers with our Acrodose Plus and PL Systems. As a result of the recall, our Blood Center customers may have discarded collected platelets and incurred other damages. During fiscal 2019 we entered into settlement agreements with certain customers responsible for substantially all of the total outstanding claims against us. As of March 30, 2019, we have recorded cumulative charges of $2.2 million associated with this recall which consists of $1.3 million of charges associated with customer returns and inventory reserves and $0.9 million of charges associated with customer claims. Substantially all of these claims have been paid as of March 30, 2019.</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August 2018,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tests to confirm that the collected blood was adequately leukoreduced, sold the collected blood labeled as non-leukoreduced at a lower price or discarded the collected blood. As of March 30, 2019, we have recorded cumulative charges of $1.9 million associated with this recall which consists of $0.1 million of charges associated with customer returns and inventory reserves and $1.8 million of charges associated with customer claims. We may record incremental charges for customer claims in future periods associated with this recall.</w:t>
      </w: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130" w:right="3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Initiative</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fiscal 2018, we launched a Complexity Reduction Initiative (the "2018 Program"), a company-wide restructuring program designed to improve operational performance and reduce cost, freeing up resources to invest in accelerated growth. This program includes a reduction of headcount and operating costs to enable a more streamlined organizational structure. We expect to incur aggregate charges between $50 million and $60 million associated with these actions,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We expect savings from this program of approximately $80 million on an annualized basis once the program is completed. During the fiscal year ended March 30, 2019 and March 31, 2018, we incurred $13.7 million and $36.6 million, respectively, of restructuring and turnaround costs under this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 Market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are two key aspects to the market for our plasma products - the growth in demand for plasma-derived biopharmaceuticals and the limited number of significant biopharmaceutical companies in this market.</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Changes in demand for plasma-derived biopharmaceuticals, particularly immunoglobulin, are the key driver of plasma collection volumes in the biopharmaceutical market. Various factors related to the supply of plasma and the production of plasma-derived biopharmaceuticals also affect collection volume, including the following:</w:t>
      </w:r>
    </w:p>
    <w:p>
      <w:pPr>
        <w:spacing w:after="0" w:line="181" w:lineRule="exact"/>
        <w:rPr>
          <w:sz w:val="20"/>
          <w:szCs w:val="20"/>
          <w:color w:val="auto"/>
        </w:rPr>
      </w:pPr>
    </w:p>
    <w:p>
      <w:pPr>
        <w:ind w:left="660" w:right="1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Biopharmaceutical companies are seeking more yield from the collected plasma to meet growing demand for biopharmaceuticals without requiring an equivalent increase in plasma supply.</w:t>
      </w:r>
    </w:p>
    <w:p>
      <w:pPr>
        <w:spacing w:after="0" w:line="170" w:lineRule="exact"/>
        <w:rPr>
          <w:rFonts w:ascii="Arial" w:cs="Arial" w:eastAsia="Arial" w:hAnsi="Arial"/>
          <w:sz w:val="18"/>
          <w:szCs w:val="18"/>
          <w:color w:val="auto"/>
        </w:rPr>
      </w:pPr>
    </w:p>
    <w:p>
      <w:pPr>
        <w:ind w:left="660" w:right="42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Newly approved indications for auto-immune diseases treated with plasma-derived therapies; the growing understanding and diagnosis of these diseases; longer lifespans and a growing aging patient population increase the demand for plasma.</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Geographical expansion of biopharmaceuticals also increases demand for plasma.</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Demand for our plasma products in fiscal 2019 continued to grow in North America as collection volumes benefited from an expanding end user market for plasma-derived biopharmaceuticals with U.S. produced plasma meeting an increasing percentage of plasma volume demand worldwide. As a result, our Plasma business’ revenues are primarily from the U.S.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Despite the overall growth in the market, the number of biopharmaceutical companies that collect and fractionate the majority of source plasma is low and industry consolidation is ongoing. Significant barriers to entry exist for new entrants due to high capital outlay requirements for fractionation, long regulatory pathways to the licensing of collection centers and fractionation facilities and approval of plasma-derived biopharmaceuticals. With these factors, we do not expect meaningful new entries or diversification. As a result, there are relatively few customers for our Plasma products, especially in the U.S. where 80% of source plasma is collected and only a few customers provide the majority of our Plasma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 Market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Blood Center market, we sell automated blood component and manual whole blood collection systems, as well as software solutions that include blood drive planning, donor recruitment and retention, blood collection, component manufacturing and distribution. While we sell products around the world, a significant portion of our sales are to a limited number of customers due to relatively limited number of blood collectors.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Within the Blood Center market, we have seen three trends that have negatively impacted our growth of the overall marketplace despite the overall increase in aging populations. Overall we continue to expect a decline in this business in the low to mid single-digits.</w:t>
      </w:r>
    </w:p>
    <w:p>
      <w:pPr>
        <w:spacing w:after="0" w:line="170" w:lineRule="exact"/>
        <w:rPr>
          <w:sz w:val="20"/>
          <w:szCs w:val="20"/>
          <w:color w:val="auto"/>
        </w:rPr>
      </w:pPr>
    </w:p>
    <w:p>
      <w:pPr>
        <w:ind w:left="660" w:right="2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Declining transfusion rates in mature markets due to the development of more minimally invasive procedures with lower associated blood loss, as well as better blood management.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12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 multi-unit collection technology for automated blood component collection systems has intensified and has negatively impacted our sales in markets where these collections are prevalent.</w:t>
      </w:r>
    </w:p>
    <w:p>
      <w:pPr>
        <w:spacing w:after="0" w:line="170" w:lineRule="exact"/>
        <w:rPr>
          <w:sz w:val="20"/>
          <w:szCs w:val="20"/>
          <w:color w:val="auto"/>
        </w:rPr>
      </w:pPr>
    </w:p>
    <w:p>
      <w:pPr>
        <w:jc w:val="both"/>
        <w:ind w:left="660" w:right="6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consolidation through group purchasing organizations has intensified pricing competition particularly in the manual whole blood collection systems, as well as impacting our software business where switching large customers to new or emerging technology platforms has a relatively high cost.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Hemostasis Management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Hemostasis Management Market - </w:t>
      </w:r>
      <w:r>
        <w:rPr>
          <w:rFonts w:ascii="Arial" w:cs="Arial" w:eastAsia="Arial" w:hAnsi="Arial"/>
          <w:sz w:val="18"/>
          <w:szCs w:val="18"/>
          <w:color w:val="auto"/>
        </w:rPr>
        <w:t>The use of routine coagulation testing is well established throughout the world in various medical procedures,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cardiovascular surgery, organ transplantation, trauma, post-partum hemorrhage and percutaneous coronary intervention. While standard tests like prothrombin time, partial thromboplastin time and platelet count have limited ability to reveal a patient’s risk for bleeding, they do not provide information on the patient’s risk for thrombosis. In addition, these routine tests do not provide specific data about clot quality or stability. As a result of these limitations, clinicians are increasingly utilizing advanced hemostasis testing to provide more information about a patient’s hemostasis status, resulting in improved clinical decision-making. In addition, advanced hemostasis testing supports hospital efforts to reduce the risks, complications and costs associated with unnecessary blood component transfusions.</w:t>
      </w:r>
    </w:p>
    <w:p>
      <w:pPr>
        <w:spacing w:after="0" w:line="189"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Haemonetics’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hemostasis analyzer systems are advanced diagnostic tools that provide a comprehensive assessment of a patient’s overall hemostasis. This information enables clinicians to decide the most appropriate clinical treatment for the patient to minimize blood loss and reduce clotting risk. For example, TEG analyzers have been used to support clinical decision making in open cardiovascular surgery and organ transplantation, becoming the “gold standard” in liver transplants. In more recent years, interest has grown into the utilization of TEG in trauma and other procedures in which the risk of hemorrhage and thrombosis are high.</w:t>
      </w:r>
    </w:p>
    <w:p>
      <w:pPr>
        <w:spacing w:after="0" w:line="20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Geographically, TEG systems have achieved the highest market penetration in North America, Europe and China. However, there are considerable growth opportunities in these as well as other markets, as TEG systems become more established as the standard of care around the world.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Cell Processing</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Cell Salvage Market - </w:t>
      </w:r>
      <w:r>
        <w:rPr>
          <w:rFonts w:ascii="Arial" w:cs="Arial" w:eastAsia="Arial" w:hAnsi="Arial"/>
          <w:sz w:val="18"/>
          <w:szCs w:val="18"/>
          <w:color w:val="auto"/>
        </w:rPr>
        <w:t>In recent years, more efficient blood use and less invasive surgeries have reduced demand for autotransfusion in these procedures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contributed to intense competition in mature markets, while increased access to healthcare in emerging economies has provided new markets and sources of growth.</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Orthopedic procedures have seen similar changes with improved blood management practices, including the use of tranexamic acid to treat and prevent post-operative bleeding, significantly reducing the number of transfusions and autotransfusion.</w:t>
      </w:r>
    </w:p>
    <w:p>
      <w:pPr>
        <w:spacing w:after="0" w:line="170"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Geographically, the Cell Saver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has achieved the highest market penetration in North America, Europe and Japan. However, there are considerable growth opportunities in certain Asia Pacific and other emerging markets as addressable procedure volumes grow and the use of autotransfusion is becoming accepted as a standard of care.</w:t>
      </w:r>
    </w:p>
    <w:p>
      <w:pPr>
        <w:spacing w:after="0" w:line="204" w:lineRule="exact"/>
        <w:rPr>
          <w:sz w:val="20"/>
          <w:szCs w:val="20"/>
          <w:color w:val="auto"/>
        </w:rPr>
      </w:pPr>
    </w:p>
    <w:p>
      <w:pPr>
        <w:ind w:right="280"/>
        <w:spacing w:after="0" w:line="203" w:lineRule="auto"/>
        <w:rPr>
          <w:sz w:val="20"/>
          <w:szCs w:val="20"/>
          <w:color w:val="auto"/>
        </w:rPr>
      </w:pPr>
      <w:r>
        <w:rPr>
          <w:rFonts w:ascii="Arial" w:cs="Arial" w:eastAsia="Arial" w:hAnsi="Arial"/>
          <w:sz w:val="18"/>
          <w:szCs w:val="18"/>
          <w:i w:val="1"/>
          <w:iCs w:val="1"/>
          <w:color w:val="auto"/>
        </w:rPr>
        <w:t xml:space="preserve">Transfusion Management Market - </w:t>
      </w:r>
      <w:r>
        <w:rPr>
          <w:rFonts w:ascii="Arial" w:cs="Arial" w:eastAsia="Arial" w:hAnsi="Arial"/>
          <w:sz w:val="18"/>
          <w:szCs w:val="18"/>
          <w:color w:val="auto"/>
        </w:rPr>
        <w:t>Revenues from BloodTrack</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have increased in the U.S. and Europe recently as hospitals seek means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efficiencies and meet compliance guidelines for tracking and dispositioning blood components to patients.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leading market share in the U.S. remains steady with potential opportunity to expand internationally.</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30"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Increase/(Decrease)</w:t>
            </w:r>
          </w:p>
        </w:tc>
        <w:tc>
          <w:tcPr>
            <w:tcW w:w="1600" w:type="dxa"/>
            <w:vAlign w:val="bottom"/>
          </w:tcPr>
          <w:p>
            <w:pPr>
              <w:jc w:val="right"/>
              <w:ind w:right="33"/>
              <w:spacing w:after="0" w:line="153" w:lineRule="exact"/>
              <w:rPr>
                <w:sz w:val="20"/>
                <w:szCs w:val="20"/>
                <w:color w:val="auto"/>
              </w:rPr>
            </w:pPr>
            <w:r>
              <w:rPr>
                <w:rFonts w:ascii="Arial" w:cs="Arial" w:eastAsia="Arial" w:hAnsi="Arial"/>
                <w:sz w:val="14"/>
                <w:szCs w:val="14"/>
                <w:b w:val="1"/>
                <w:bCs w:val="1"/>
                <w:color w:val="auto"/>
                <w:w w:val="98"/>
              </w:rPr>
              <w:t>% Increase/(Decrease)</w:t>
            </w:r>
          </w:p>
        </w:tc>
        <w:tc>
          <w:tcPr>
            <w:tcW w:w="0" w:type="dxa"/>
            <w:vAlign w:val="bottom"/>
          </w:tcPr>
          <w:p>
            <w:pPr>
              <w:spacing w:after="0"/>
              <w:rPr>
                <w:sz w:val="1"/>
                <w:szCs w:val="1"/>
                <w:color w:val="auto"/>
              </w:rPr>
            </w:pPr>
          </w:p>
        </w:tc>
      </w:tr>
      <w:tr>
        <w:trPr>
          <w:trHeight w:val="192"/>
        </w:trPr>
        <w:tc>
          <w:tcPr>
            <w:tcW w:w="35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19 vs. 18</w:t>
            </w:r>
          </w:p>
        </w:tc>
        <w:tc>
          <w:tcPr>
            <w:tcW w:w="1600" w:type="dxa"/>
            <w:vAlign w:val="bottom"/>
          </w:tcPr>
          <w:p>
            <w:pPr>
              <w:jc w:val="right"/>
              <w:ind w:right="453"/>
              <w:spacing w:after="0"/>
              <w:rPr>
                <w:sz w:val="20"/>
                <w:szCs w:val="20"/>
                <w:color w:val="auto"/>
              </w:rPr>
            </w:pPr>
            <w:r>
              <w:rPr>
                <w:rFonts w:ascii="Arial" w:cs="Arial" w:eastAsia="Arial" w:hAnsi="Arial"/>
                <w:sz w:val="14"/>
                <w:szCs w:val="14"/>
                <w:b w:val="1"/>
                <w:bCs w:val="1"/>
                <w:color w:val="auto"/>
              </w:rPr>
              <w:t>18 vs. 17</w:t>
            </w:r>
          </w:p>
        </w:tc>
        <w:tc>
          <w:tcPr>
            <w:tcW w:w="0" w:type="dxa"/>
            <w:vAlign w:val="bottom"/>
          </w:tcPr>
          <w:p>
            <w:pPr>
              <w:spacing w:after="0"/>
              <w:rPr>
                <w:sz w:val="1"/>
                <w:szCs w:val="1"/>
                <w:color w:val="auto"/>
              </w:rPr>
            </w:pP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967,579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903,923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886,116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417,536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411,908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378,494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42.7 %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333,991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355,751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397,875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(19,381)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(9,912)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(8,095)</w:t>
            </w:r>
          </w:p>
        </w:tc>
        <w:tc>
          <w:tcPr>
            <w:tcW w:w="100" w:type="dxa"/>
            <w:vAlign w:val="bottom"/>
          </w:tcPr>
          <w:p>
            <w:pPr>
              <w:spacing w:after="0"/>
              <w:rPr>
                <w:sz w:val="21"/>
                <w:szCs w:val="21"/>
                <w:color w:val="auto"/>
              </w:rPr>
            </w:pPr>
          </w:p>
        </w:tc>
        <w:tc>
          <w:tcPr>
            <w:tcW w:w="1700" w:type="dxa"/>
            <w:vAlign w:val="bottom"/>
            <w:gridSpan w:val="2"/>
          </w:tcPr>
          <w:p>
            <w:pPr>
              <w:ind w:left="1080"/>
              <w:spacing w:after="0"/>
              <w:rPr>
                <w:sz w:val="20"/>
                <w:szCs w:val="20"/>
                <w:color w:val="auto"/>
              </w:rPr>
            </w:pPr>
            <w:r>
              <w:rPr>
                <w:rFonts w:ascii="Arial" w:cs="Arial" w:eastAsia="Arial" w:hAnsi="Arial"/>
                <w:sz w:val="18"/>
                <w:szCs w:val="18"/>
                <w:color w:val="auto"/>
              </w:rPr>
              <w:t>n/m</w:t>
            </w:r>
          </w:p>
        </w:tc>
        <w:tc>
          <w:tcPr>
            <w:tcW w:w="160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59,632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(27,476)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Tax expense (benefit)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18,614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14,060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32.4 %</w:t>
            </w:r>
          </w:p>
        </w:tc>
        <w:tc>
          <w:tcPr>
            <w:tcW w:w="100" w:type="dxa"/>
            <w:vAlign w:val="bottom"/>
          </w:tcPr>
          <w:p>
            <w:pPr>
              <w:spacing w:after="0"/>
              <w:rPr>
                <w:sz w:val="21"/>
                <w:szCs w:val="21"/>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pre-tax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55,019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45,572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(26,268)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21"/>
                <w:szCs w:val="21"/>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Net income (loss) per share -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24.4 %</w:t>
            </w:r>
          </w:p>
        </w:tc>
        <w:tc>
          <w:tcPr>
            <w:tcW w:w="100" w:type="dxa"/>
            <w:vAlign w:val="bottom"/>
          </w:tcPr>
          <w:p>
            <w:pPr>
              <w:spacing w:after="0"/>
              <w:rPr>
                <w:sz w:val="21"/>
                <w:szCs w:val="21"/>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share -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ends on the Saturday closest to the last day of March. Fiscal 2019, 2018 and 2017 include 52 weeks with each quarter having 13 weeks.</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revenues for fiscal 2019 increased 7.0% compared with fiscal 2018 both with and without the effects of foreign exchange, as revenue increases in Plasma and Hospital were partially offset by declines in our Blood Center business unit.</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revenues for fiscal 2018 increased 2.0% compared with fiscal 2017. Without the effects of foreign exchange, net revenues increased 1.1% compared with fiscal 2017 as revenue increases in Plasma and Hospital were partially offset by declines in Blood Center.</w:t>
      </w:r>
    </w:p>
    <w:p>
      <w:pPr>
        <w:spacing w:after="0" w:line="17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Operating income increased during fiscal 2019 as compared with fiscal 2018. Operating income increased primarily due to increased revenue volumes, favorable price and product mix, lower restructuring and turnaround costs and annualized savings as a result of the prior year restructuring initiatives. This increase was partially offset by asset impairments associated with the HDC line, accelerated depreciation related to PCS</w:t>
      </w:r>
      <w:r>
        <w:rPr>
          <w:rFonts w:ascii="Arial" w:cs="Arial" w:eastAsia="Arial" w:hAnsi="Arial"/>
          <w:sz w:val="20"/>
          <w:szCs w:val="20"/>
          <w:color w:val="auto"/>
          <w:vertAlign w:val="superscript"/>
        </w:rPr>
        <w:t>®</w:t>
      </w:r>
      <w:r>
        <w:rPr>
          <w:rFonts w:ascii="Arial" w:cs="Arial" w:eastAsia="Arial" w:hAnsi="Arial"/>
          <w:sz w:val="17"/>
          <w:szCs w:val="17"/>
          <w:color w:val="auto"/>
        </w:rPr>
        <w:t>2 devices, higher freight costs driven by revenue volume growth and rising fuel costs and carrier fees and increased investments within our Plasma and Hospital business units.</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recorded operating income during fiscal 2018, as compared with an operating loss during fiscal 2017. Operating income increased primarily as a result of a decrease in asset impairments in fiscal 2018 as compared with fiscal 2017, as well as an increase in gross profit. This operating income was partially offset by increased restructuring and turnaround costs associated with the 2018 Program and increased investments in research and development and sales and marketing primarily in our Hospital and Plasma business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bottom w:val="single" w:sz="8" w:color="auto"/>
            </w:tcBorders>
            <w:gridSpan w:val="5"/>
          </w:tcPr>
          <w:p>
            <w:pPr>
              <w:jc w:val="center"/>
              <w:ind w:left="748"/>
              <w:spacing w:after="0"/>
              <w:rPr>
                <w:sz w:val="20"/>
                <w:szCs w:val="20"/>
                <w:color w:val="auto"/>
              </w:rPr>
            </w:pPr>
            <w:r>
              <w:rPr>
                <w:rFonts w:ascii="Arial" w:cs="Arial" w:eastAsia="Arial" w:hAnsi="Arial"/>
                <w:sz w:val="14"/>
                <w:szCs w:val="14"/>
                <w:b w:val="1"/>
                <w:bCs w:val="1"/>
                <w:color w:val="auto"/>
                <w:w w:val="90"/>
              </w:rPr>
              <w:t>Fiscal 2019 versus 2018</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Fiscal 2018 versus 2017</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Reported</w:t>
            </w:r>
          </w:p>
        </w:tc>
        <w:tc>
          <w:tcPr>
            <w:tcW w:w="12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Currency</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Constant</w:t>
            </w: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Reported</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Currency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0" w:type="dxa"/>
            <w:vAlign w:val="bottom"/>
          </w:tcPr>
          <w:p>
            <w:pPr>
              <w:spacing w:after="0"/>
              <w:rPr>
                <w:sz w:val="1"/>
                <w:szCs w:val="1"/>
                <w:color w:val="auto"/>
              </w:rPr>
            </w:pPr>
          </w:p>
        </w:tc>
      </w:tr>
      <w:tr>
        <w:trPr>
          <w:trHeight w:val="149"/>
        </w:trPr>
        <w:tc>
          <w:tcPr>
            <w:tcW w:w="14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2"/>
                <w:szCs w:val="12"/>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currency</w:t>
            </w:r>
          </w:p>
        </w:tc>
        <w:tc>
          <w:tcPr>
            <w:tcW w:w="12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currency growth</w:t>
            </w:r>
          </w:p>
        </w:tc>
        <w:tc>
          <w:tcPr>
            <w:tcW w:w="0" w:type="dxa"/>
            <w:vAlign w:val="bottom"/>
          </w:tcPr>
          <w:p>
            <w:pPr>
              <w:spacing w:after="0"/>
              <w:rPr>
                <w:sz w:val="1"/>
                <w:szCs w:val="1"/>
                <w:color w:val="auto"/>
              </w:rPr>
            </w:pPr>
          </w:p>
        </w:tc>
      </w:tr>
      <w:tr>
        <w:trPr>
          <w:trHeight w:val="162"/>
        </w:trPr>
        <w:tc>
          <w:tcPr>
            <w:tcW w:w="14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Growth</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Growth</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impact</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0" w:type="dxa"/>
            <w:vAlign w:val="bottom"/>
          </w:tcPr>
          <w:p>
            <w:pPr>
              <w:spacing w:after="0"/>
              <w:rPr>
                <w:sz w:val="1"/>
                <w:szCs w:val="1"/>
                <w:color w:val="auto"/>
              </w:rPr>
            </w:pPr>
          </w:p>
        </w:tc>
      </w:tr>
      <w:tr>
        <w:trPr>
          <w:trHeight w:val="244"/>
        </w:trPr>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522,686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360,734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355,192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363,430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967,579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886,116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right="240" w:hanging="5"/>
        <w:spacing w:after="0" w:line="253" w:lineRule="auto"/>
        <w:tabs>
          <w:tab w:leader="none" w:pos="167" w:val="left"/>
        </w:tabs>
        <w:numPr>
          <w:ilvl w:val="0"/>
          <w:numId w:val="15"/>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-211455</wp:posOffset>
            </wp:positionV>
            <wp:extent cx="20066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the Impact of Foreign Exchange</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principal operations are in the United States, Europe, Japan and other parts of Asia. Our products are marketed in approximately 90 countries around the world through a combination of our direct sales force and independent distributors and agents.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revenue generated in our principle operating regions is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Fiscal Year</w:t>
            </w:r>
          </w:p>
        </w:tc>
        <w:tc>
          <w:tcPr>
            <w:tcW w:w="1420" w:type="dxa"/>
            <w:vAlign w:val="bottom"/>
          </w:tcPr>
          <w:p>
            <w:pPr>
              <w:spacing w:after="0"/>
              <w:rPr>
                <w:sz w:val="16"/>
                <w:szCs w:val="16"/>
                <w:color w:val="auto"/>
              </w:rPr>
            </w:pPr>
          </w:p>
        </w:tc>
      </w:tr>
      <w:tr>
        <w:trPr>
          <w:trHeight w:val="276"/>
        </w:trPr>
        <w:tc>
          <w:tcPr>
            <w:tcW w:w="694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Japan</w:t>
            </w: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Asia</w:t>
            </w: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International sales are generally conducted in local currencies, primarily Japanese Yen, Euro, Chinese Yuan and Australian Dollar. Our results of operations are impacted by changes in foreign exchange rates, particularly in the value of the Yen, Euro and Australian Dollar relative to the U.S. Dollar.</w:t>
      </w:r>
    </w:p>
    <w:p>
      <w:pPr>
        <w:spacing w:after="0" w:line="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placed foreign currency hedges based on estimates of future revenues to reduce the impacts of currency fluctuations. As compared with fiscal 2018, foreign exchange did not have an impact on sales growth during fiscal 2019. For fiscal 2018, as compared with fiscal 2017, the effects of foreign exchange accounted for a 0.9% increase in sales.</w:t>
      </w:r>
    </w:p>
    <w:p>
      <w:pPr>
        <w:spacing w:after="0" w:line="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Please see section entitled </w:t>
      </w:r>
      <w:r>
        <w:rPr>
          <w:rFonts w:ascii="Arial" w:cs="Arial" w:eastAsia="Arial" w:hAnsi="Arial"/>
          <w:sz w:val="18"/>
          <w:szCs w:val="18"/>
          <w:i w:val="1"/>
          <w:iCs w:val="1"/>
          <w:color w:val="auto"/>
        </w:rPr>
        <w:t>“Foreign Exchange”</w:t>
      </w:r>
      <w:r>
        <w:rPr>
          <w:rFonts w:ascii="Arial" w:cs="Arial" w:eastAsia="Arial" w:hAnsi="Arial"/>
          <w:sz w:val="18"/>
          <w:szCs w:val="18"/>
          <w:color w:val="auto"/>
        </w:rPr>
        <w:t xml:space="preserve"> in this discussion for a more complete explanation of how foreign currency affects our business and our strategy for managing this exposure.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Fiscal 2019 versus 2018</w:t>
            </w: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Fiscal 2018 versus 2017</w:t>
            </w: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Reported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Currency</w:t>
            </w:r>
          </w:p>
        </w:tc>
        <w:tc>
          <w:tcPr>
            <w:tcW w:w="10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Constant</w:t>
            </w: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Reported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Currency</w:t>
            </w:r>
          </w:p>
        </w:tc>
        <w:tc>
          <w:tcPr>
            <w:tcW w:w="88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currency</w:t>
            </w: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Growth</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impact</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Growth</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3"/>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Plasma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501,837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435,956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410,727</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15.1%</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14.8%</w:t>
            </w:r>
          </w:p>
        </w:tc>
        <w:tc>
          <w:tcPr>
            <w:tcW w:w="120" w:type="dxa"/>
            <w:vAlign w:val="bottom"/>
          </w:tcPr>
          <w:p>
            <w:pPr>
              <w:spacing w:after="0"/>
              <w:rPr>
                <w:sz w:val="21"/>
                <w:szCs w:val="21"/>
                <w:color w:val="auto"/>
              </w:rPr>
            </w:pPr>
          </w:p>
        </w:tc>
        <w:tc>
          <w:tcPr>
            <w:tcW w:w="880" w:type="dxa"/>
            <w:vAlign w:val="bottom"/>
          </w:tcPr>
          <w:p>
            <w:pPr>
              <w:jc w:val="right"/>
              <w:ind w:right="178"/>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21"/>
                <w:szCs w:val="21"/>
                <w:color w:val="auto"/>
              </w:rPr>
            </w:pPr>
          </w:p>
        </w:tc>
        <w:tc>
          <w:tcPr>
            <w:tcW w:w="880" w:type="dxa"/>
            <w:vAlign w:val="bottom"/>
          </w:tcPr>
          <w:p>
            <w:pPr>
              <w:jc w:val="right"/>
              <w:ind w:right="178"/>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Blood Center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284,902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303,890</w:t>
            </w:r>
          </w:p>
        </w:tc>
        <w:tc>
          <w:tcPr>
            <w:tcW w:w="10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9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196,539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183,065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171,499</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7.4%</w:t>
            </w:r>
          </w:p>
        </w:tc>
        <w:tc>
          <w:tcPr>
            <w:tcW w:w="1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7.3%</w:t>
            </w:r>
          </w:p>
        </w:tc>
        <w:tc>
          <w:tcPr>
            <w:tcW w:w="120" w:type="dxa"/>
            <w:vAlign w:val="bottom"/>
          </w:tcPr>
          <w:p>
            <w:pPr>
              <w:spacing w:after="0"/>
              <w:rPr>
                <w:sz w:val="23"/>
                <w:szCs w:val="23"/>
                <w:color w:val="auto"/>
              </w:rPr>
            </w:pPr>
          </w:p>
        </w:tc>
        <w:tc>
          <w:tcPr>
            <w:tcW w:w="880" w:type="dxa"/>
            <w:vAlign w:val="bottom"/>
          </w:tcPr>
          <w:p>
            <w:pPr>
              <w:jc w:val="right"/>
              <w:ind w:right="178"/>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120" w:type="dxa"/>
            <w:vAlign w:val="bottom"/>
          </w:tcPr>
          <w:p>
            <w:pPr>
              <w:spacing w:after="0"/>
              <w:rPr>
                <w:sz w:val="23"/>
                <w:szCs w:val="23"/>
                <w:color w:val="auto"/>
              </w:rPr>
            </w:pPr>
          </w:p>
        </w:tc>
        <w:tc>
          <w:tcPr>
            <w:tcW w:w="880" w:type="dxa"/>
            <w:vAlign w:val="bottom"/>
          </w:tcPr>
          <w:p>
            <w:pPr>
              <w:jc w:val="right"/>
              <w:ind w:right="178"/>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64"/>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967,579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903,923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886,116</w:t>
            </w:r>
          </w:p>
        </w:tc>
        <w:tc>
          <w:tcPr>
            <w:tcW w:w="10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20" w:right="140" w:firstLine="10"/>
        <w:spacing w:after="0" w:line="253" w:lineRule="auto"/>
        <w:tabs>
          <w:tab w:leader="none" w:pos="247"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11" w:lineRule="exact"/>
        <w:rPr>
          <w:rFonts w:ascii="Arial" w:cs="Arial" w:eastAsia="Arial" w:hAnsi="Arial"/>
          <w:sz w:val="9"/>
          <w:szCs w:val="9"/>
          <w:color w:val="auto"/>
        </w:rPr>
      </w:pPr>
    </w:p>
    <w:p>
      <w:pPr>
        <w:ind w:left="120" w:right="320" w:firstLine="10"/>
        <w:spacing w:after="0" w:line="256" w:lineRule="auto"/>
        <w:tabs>
          <w:tab w:leader="none" w:pos="261" w:val="left"/>
        </w:tabs>
        <w:numPr>
          <w:ilvl w:val="0"/>
          <w:numId w:val="16"/>
        </w:numPr>
        <w:rPr>
          <w:rFonts w:ascii="Arial" w:cs="Arial" w:eastAsia="Arial" w:hAnsi="Arial"/>
          <w:sz w:val="8"/>
          <w:szCs w:val="8"/>
          <w:color w:val="auto"/>
        </w:rPr>
      </w:pPr>
      <w:r>
        <w:rPr>
          <w:rFonts w:ascii="Arial" w:cs="Arial" w:eastAsia="Arial" w:hAnsi="Arial"/>
          <w:sz w:val="13"/>
          <w:szCs w:val="13"/>
          <w:color w:val="auto"/>
        </w:rPr>
        <w:t>Hospital revenue includes both Cell Processing and Hemostasis Management revenue. Hemostasis Management revenue was $87.6 million, $75.5 million and $66.1 million for fiscal years 2019, 2018 and 2017, respectively. Hemostasis Management revenue increased 16.0% during fiscal 2019 as compared with fiscal 2018. Without the effect of foreign exchange, Hemostasis Management revenue increased 16.1% during fiscal 2019 as compared with fiscal 2018. Hemostasis Management revenue increased 14.2% during fiscal 2018 as compared with fiscal 2017. Without the effect of foreign exchange, Hemostasis Management revenue increased 13.6% during fiscal 2018 as compared with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-624205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w:t>
      </w:r>
    </w:p>
    <w:p>
      <w:pPr>
        <w:spacing w:after="0" w:line="13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Plasma revenue increased 15.1% during fiscal 2019 as compared with fiscal 2018. Without the effect of foreign exchange, Plasma revenue increased 14.8% during fiscal 2019. This revenue growth was primarily driven by an increase in volume of plasma disposables due to continued strong performance in the U.S. and favorable NexSys PCS pricing during fiscal 2019. Increases in sales of liquid solutions also contributed to the growth during fiscal 2019</w:t>
      </w:r>
    </w:p>
    <w:p>
      <w:pPr>
        <w:spacing w:after="0" w:line="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May 21, 2019, we transferred to CSL substantially all of the tangible assets held by Haemonetics relating to the manufacture of anti-coagulant and saline at our Union, South Carolina facility. We will continue to supply liquid solutions to our customers following the asset transfer agreement pursuant to our supplier arrangements with contract manufacturers.</w:t>
      </w:r>
    </w:p>
    <w:p>
      <w:pPr>
        <w:spacing w:after="0" w:line="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Plasma revenue increased 6.1% during fiscal 2018 as compared with fiscal 2017. Without the effect of foreign exchange, Plasma revenue increased 5.5% during fiscal 2018. This revenue growth was primarily driven by an increase in sales of plasma disposables and software due to continued strong performance in the U.S. This increase was partially offset by a decline in liquid solutions revenue and a decrease in equipment revenue resulting from the divestiture of our SEBRA product line, which contributed $6.5 million in Plasma revenue during fiscal 2017.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Blood Center</w:t>
      </w:r>
    </w:p>
    <w:p>
      <w:pPr>
        <w:spacing w:after="0" w:line="13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Blood Center revenue decreased 5.5% during fiscal 2019 as compared with fiscal 2018. There was no foreign exchange impact on Blood Center revenue during fiscal 2019. This decrease was primarily driven by lower whole blood revenue due to continued market declines, the strategic exit of certain contracts, products and markets, including unfavorable order timing associated with these exits, as well as product recalls. Declines in software revenue in the U.S and platelet revenue driven by the continued shift toward double dose collection techniques in Japan also contributed to the decrease.</w:t>
      </w:r>
    </w:p>
    <w:p>
      <w:pPr>
        <w:spacing w:after="0" w:line="6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Blood Center revenue decreased 6.2% during fiscal 2018 compared with fiscal 2017. Without the effect of foreign exchange, Blood Center revenue decreased 7.5% during fiscal 2018. This decrease was primarily due to declines in whole blood revenue in both Europe and the U.S. resulting from continued moderation in the rate of collections and declines in platelet revenue driven by the continued market shift toward double dose collection techniques in Japan, as well as decreased sales in Europe. Decreases in equipment revenue due to a one-time sale of equipment to the American Red Cross in the prior year period and declines in red cell revenue due to the loss of a customer contract in a prior year also contributed to the overall decrease in Blood Center.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w:t>
      </w:r>
    </w:p>
    <w:p>
      <w:pPr>
        <w:spacing w:after="0" w:line="13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Hospital revenue increased 7.4% during fiscal 2019 as compared with fiscal 2018. Without the effect of foreign exchange, Hospital revenue increased 7.3% during fiscal 2019. This increase was primarily attributable to the growth of disposables associated with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diagnostic systems, principally in the U.S. and China. The TEG 6s system and TEG Manager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software are approved for the same set of indications as the TEG 5000 system in Europe, Australia and Japan. We continue to pursue a broader set of indications for TEG 6s in the U.S. In May 2019, we received FDA clearance for the use of TEG 6s in adult trauma settings. This clearance builds on the current indication for the TEG 6s system in cardiovascular surgery and cardiology procedures, making it the first cartridge-based system available in the U.S. to evaluate the hemostasis condition in adult trauma patients. The increase during fiscal 2019 was partially offset by the continued decline in OrthoPAT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revenue due to better blood management which has reduced orthopedic blood loss. We discontinued the sale of our OrthoPAT products effective March 31, 2019. We offer the Cell Saver Elite + as an alternative autotransfusion system for orthopedics or other medium to low blood loss procedures.</w:t>
      </w:r>
    </w:p>
    <w:p>
      <w:pPr>
        <w:spacing w:after="0" w:line="116"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Hospital revenue increased 6.7% during fiscal 2018 as compared with fiscal 2017. Without the effect of foreign exchange, Hospital revenue increased 5.4% during fiscal 2018. This increase was primarily attributable to the growth of disposables associated with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diagnostic systems, principally in the U.S. and China. Growth in BloodTrack revenue in the U.S. and Europe also contributed to the increase. These increases were partially offset by the continued decline in OrthoPAT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revenue due to better blood management which has reduced orthopedic blood loss.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319"/>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22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38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19 vs. 18</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18 vs. 17</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417,536</w:t>
            </w:r>
          </w:p>
        </w:tc>
        <w:tc>
          <w:tcPr>
            <w:tcW w:w="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411,908</w:t>
            </w:r>
          </w:p>
        </w:tc>
        <w:tc>
          <w:tcPr>
            <w:tcW w:w="40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378,494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43.2%</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Gross profit increased 1.4% during fiscal 2019 as compared with fiscal 2018. Without the effects of foreign exchange, gross profit increased 0.5% during fiscal 2019. Gross profit margin percentage decreased by 240 basis points for fiscal 2019 as compared with fiscal 2018. The decrease in the gross profit margin during fiscal 2019 was primarily due to increased depreciation expense primarily due to Plasma devices and asset impairments associated with the HDC line. This decrease was partially offset by favorable price and volume mix as well as savings as a result of the prior year restructuring initiative.</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increased 8.8% during fiscal 2018 as compared with fiscal 2017. Without the effects of foreign exchange, gross profit increased 6.4% during fiscal 2018. Gross profit margin percentage increased by 290 basis points for fiscal 2018 as compared with fiscal 2017. The increase in the gross profit margin during fiscal 2018 was primarily due to favorable mix, partially offset by continued manufacturing challenges, the impact of the divestiture of SEBRA and increased depreciation expense. The negative impact of asset impairments, inventory charges and the whole blood filter recall on the prior year period also contributed to the overall increase in fiscal 2018 as compared with fiscal 2017.</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294"/>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20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rPr>
                <w:sz w:val="1"/>
                <w:szCs w:val="1"/>
                <w:color w:val="auto"/>
              </w:rPr>
            </w:pPr>
          </w:p>
        </w:tc>
      </w:tr>
      <w:tr>
        <w:trPr>
          <w:trHeight w:val="192"/>
        </w:trPr>
        <w:tc>
          <w:tcPr>
            <w:tcW w:w="38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19 vs. 18</w:t>
            </w:r>
          </w:p>
        </w:tc>
        <w:tc>
          <w:tcPr>
            <w:tcW w:w="1480" w:type="dxa"/>
            <w:vAlign w:val="bottom"/>
          </w:tcPr>
          <w:p>
            <w:pPr>
              <w:jc w:val="right"/>
              <w:ind w:right="396"/>
              <w:spacing w:after="0"/>
              <w:rPr>
                <w:sz w:val="20"/>
                <w:szCs w:val="20"/>
                <w:color w:val="auto"/>
              </w:rPr>
            </w:pPr>
            <w:r>
              <w:rPr>
                <w:rFonts w:ascii="Arial" w:cs="Arial" w:eastAsia="Arial" w:hAnsi="Arial"/>
                <w:sz w:val="14"/>
                <w:szCs w:val="14"/>
                <w:b w:val="1"/>
                <w:bCs w:val="1"/>
                <w:color w:val="auto"/>
              </w:rPr>
              <w:t>18 vs. 17</w:t>
            </w:r>
          </w:p>
        </w:tc>
        <w:tc>
          <w:tcPr>
            <w:tcW w:w="0" w:type="dxa"/>
            <w:vAlign w:val="bottom"/>
          </w:tcPr>
          <w:p>
            <w:pPr>
              <w:spacing w:after="0"/>
              <w:rPr>
                <w:sz w:val="1"/>
                <w:szCs w:val="1"/>
                <w:color w:val="auto"/>
              </w:rPr>
            </w:pPr>
          </w:p>
        </w:tc>
      </w:tr>
      <w:tr>
        <w:trPr>
          <w:trHeight w:val="250"/>
        </w:trPr>
        <w:tc>
          <w:tcPr>
            <w:tcW w:w="3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35,714</w:t>
            </w:r>
          </w:p>
        </w:tc>
        <w:tc>
          <w:tcPr>
            <w:tcW w:w="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39,228</w:t>
            </w:r>
          </w:p>
        </w:tc>
        <w:tc>
          <w:tcPr>
            <w:tcW w:w="40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i w:val="1"/>
                <w:iCs w:val="1"/>
                <w:color w:val="auto"/>
              </w:rPr>
              <w:t>3.7%</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4.3%</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4.2%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298,277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316,523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301,726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i w:val="1"/>
                <w:iCs w:val="1"/>
                <w:color w:val="auto"/>
              </w:rPr>
              <w:t>30.8%</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35.0%</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34.1%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58,593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333,991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355,751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397,875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34.5%</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Research and development expenses decreased 9.0% during fiscal 2019 as compared with fiscal 2018. Without the effects of foreign exchange, research and development expenses decreased 8.4% during fiscal 2019. The decrease in fiscal 2019 was primarily driven by lower restructuring and turnaround costs partially offset by our continued investment of resources in clinical programs, primarily in our Hospital business unit, as well as continued investment in our Plasma business unit.</w:t>
      </w:r>
    </w:p>
    <w:p>
      <w:pPr>
        <w:spacing w:after="0" w:line="9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Research and development expenses increased 4.5% during fiscal 2018 as compared with fiscal 2017. Without the effects of foreign exchange, research and development expenses increased 5.5% during fiscal 2018. The increase in fiscal 2018 was primarily driven by higher restructuring and turnaround costs associated with the 2018 Program and our continued investment of resources in clinical programs, primarily in Hospital. These increased costs were partially offset by reduced spending on certain software projects and several projects in Blood Center to better align with our long-term product plans.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Selling, general and administrative expenses decreased 5.8% during fiscal 2019 as compared with fiscal 2018. Without the effects of foreign exchange, selling, general and administrative expenses decreased 5.6% during fiscal 2019. The decrease in fiscal 2019 was primarily the result of lower restructuring and turnaround costs and annualized savings as a result of the current and prior year restructuring initiatives. This decrease was partially offset by increased investments within our Plasma and Hospital business units, higher freight costs driven by revenue volume growth and rising fuel costs and carrier fees and an increase in variable compensation and share-based compensation expense.</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Selling, general and administrative expenses increased 4.9% during fiscal 2018 as compared with fiscal 2017. Without the effects of foreign exchange, selling, general and administrative expenses increased 4.4% during fiscal 2018. The increase in fiscal 2018 was primarily the result of higher restructuring and turnaround costs associated with the 2018 Program, an increase in investments, primarily in Hospital and next generation plasma collection and software systems, and an increase in variable compensation and share-based compensation expense. This increase was partially offset by annualized savings as a result of the prior year restructuring initiative.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1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and other expense, net, increased 5.4 million during fiscal 2019 as compared with fiscal 2018 due to an increase in the Term Loan balance as well as an increase in the effective interest rate. The effective interest rate on total debt outstanding for the fiscal year ended March 30, 2019 was approximately 3.8%.</w:t>
      </w:r>
    </w:p>
    <w:p>
      <w:pPr>
        <w:spacing w:after="0" w:line="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and other expense, net, decreased 44.1% during fiscal 2018 as compared with fiscal 2017 due to a decrease in interest expense as a result of principal payments on our term loan and a reduction in borrowings on our revolving credit line.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0" w:type="dxa"/>
            <w:vAlign w:val="bottom"/>
          </w:tcPr>
          <w:p>
            <w:pPr>
              <w:jc w:val="center"/>
              <w:ind w:right="322"/>
              <w:spacing w:after="0"/>
              <w:rPr>
                <w:sz w:val="20"/>
                <w:szCs w:val="20"/>
                <w:color w:val="auto"/>
              </w:rPr>
            </w:pPr>
            <w:r>
              <w:rPr>
                <w:rFonts w:ascii="Arial" w:cs="Arial" w:eastAsia="Arial" w:hAnsi="Arial"/>
                <w:sz w:val="14"/>
                <w:szCs w:val="14"/>
                <w:b w:val="1"/>
                <w:bCs w:val="1"/>
                <w:color w:val="auto"/>
                <w:w w:val="91"/>
              </w:rPr>
              <w:t>Fiscal Year</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920" w:type="dxa"/>
            <w:vAlign w:val="bottom"/>
            <w:vMerge w:val="restart"/>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2"/>
                <w:szCs w:val="12"/>
                <w:color w:val="auto"/>
              </w:rPr>
            </w:pPr>
          </w:p>
        </w:tc>
        <w:tc>
          <w:tcPr>
            <w:tcW w:w="1600" w:type="dxa"/>
            <w:vAlign w:val="bottom"/>
            <w:vMerge w:val="restart"/>
          </w:tcPr>
          <w:p>
            <w:pPr>
              <w:jc w:val="right"/>
              <w:ind w:right="782"/>
              <w:spacing w:after="0"/>
              <w:rPr>
                <w:sz w:val="20"/>
                <w:szCs w:val="20"/>
                <w:color w:val="auto"/>
              </w:rPr>
            </w:pPr>
            <w:r>
              <w:rPr>
                <w:rFonts w:ascii="Arial" w:cs="Arial" w:eastAsia="Arial" w:hAnsi="Arial"/>
                <w:sz w:val="14"/>
                <w:szCs w:val="14"/>
                <w:b w:val="1"/>
                <w:bCs w:val="1"/>
                <w:color w:val="auto"/>
              </w:rPr>
              <w:t>2018</w:t>
            </w:r>
          </w:p>
        </w:tc>
        <w:tc>
          <w:tcPr>
            <w:tcW w:w="11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392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19 vs. 18</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18 vs. 17</w:t>
            </w:r>
          </w:p>
        </w:tc>
        <w:tc>
          <w:tcPr>
            <w:tcW w:w="0" w:type="dxa"/>
            <w:vAlign w:val="bottom"/>
          </w:tcPr>
          <w:p>
            <w:pPr>
              <w:spacing w:after="0"/>
              <w:rPr>
                <w:sz w:val="1"/>
                <w:szCs w:val="1"/>
                <w:color w:val="auto"/>
              </w:rPr>
            </w:pPr>
          </w:p>
        </w:tc>
      </w:tr>
      <w:tr>
        <w:trPr>
          <w:trHeight w:val="243"/>
        </w:trPr>
        <w:tc>
          <w:tcPr>
            <w:tcW w:w="4780" w:type="dxa"/>
            <w:vAlign w:val="bottom"/>
            <w:gridSpan w:val="2"/>
          </w:tcPr>
          <w:p>
            <w:pPr>
              <w:jc w:val="right"/>
              <w:ind w:right="2908"/>
              <w:spacing w:after="0"/>
              <w:rPr>
                <w:sz w:val="20"/>
                <w:szCs w:val="20"/>
                <w:color w:val="auto"/>
              </w:rPr>
            </w:pPr>
            <w:r>
              <w:rPr>
                <w:rFonts w:ascii="Arial" w:cs="Arial" w:eastAsia="Arial" w:hAnsi="Arial"/>
                <w:sz w:val="18"/>
                <w:szCs w:val="18"/>
                <w:color w:val="auto"/>
                <w:w w:val="88"/>
              </w:rPr>
              <w:t>Reported income tax rate</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w w:val="90"/>
              </w:rPr>
              <w:t>25.3%</w:t>
            </w:r>
          </w:p>
        </w:tc>
        <w:tc>
          <w:tcPr>
            <w:tcW w:w="1600" w:type="dxa"/>
            <w:vAlign w:val="bottom"/>
          </w:tcPr>
          <w:p>
            <w:pPr>
              <w:jc w:val="right"/>
              <w:ind w:right="282"/>
              <w:spacing w:after="0"/>
              <w:rPr>
                <w:sz w:val="20"/>
                <w:szCs w:val="20"/>
                <w:color w:val="auto"/>
              </w:rPr>
            </w:pPr>
            <w:r>
              <w:rPr>
                <w:rFonts w:ascii="Arial" w:cs="Arial" w:eastAsia="Arial" w:hAnsi="Arial"/>
                <w:sz w:val="18"/>
                <w:szCs w:val="18"/>
                <w:color w:val="auto"/>
              </w:rPr>
              <w:t>23.6%</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Reported Tax Rate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As of March 30, 2019, we maintain a valuation allowance against certain U.S. state deferred tax assets that are not more-likely-than-not realizable and maintains a full valuation allowance against the net deferred tax assets of certain foreign subsidiaries.</w:t>
      </w:r>
    </w:p>
    <w:p>
      <w:pPr>
        <w:spacing w:after="0" w:line="18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For the year ended March 30, 2019, we recorded an income tax provision of $18.6 million on our worldwide pre-tax income of $73.6 million, resulting in a reported tax rate of 25.3%. Our effective tax rate for the year ended March 30, 2019 is higher than our effective tax rates of 23.6% and 4.4% for the years ended March 31, 2018 and April 1, 2017, respectively. Our increase in tax rate for fiscal 2019, as compared with fiscal 2018, is primarily the result of the impact of the U.S. tax reform provisions that became effective in fiscal 2019, including global intangible low taxed income and nondeductible executive compensation, partially offset by excess stock compensation benefits. The fiscal 2018 rate was higher than the fiscal 2017 tax rate due to the impact of U.S. tax reform (tax expense related to the transition tax liability partially offset by the release of valuation allowance against certain deferred tax assets) changes in the jurisdictional mix of earnings and the impact of goodwill impairments in fiscal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Reform</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third quarter of fiscal 2018, the Tax Cuts and Jobs Act (the "Act") was enacted in the United States. The Act reduced the U.S. federal corporate tax rate from 35% to 21%, required companies to pay a one-time transition tax on earnings of certain foreign subsidiaries that were previously tax deferred and created new taxes on certain foreign sourced earnings. In addition, the Securities and Exchange Commission issued guidance under Staff Accounting Bulletin No. 118, Income Tax Accounting Implications of the Tax Cuts and Jobs Act that directed taxpayers to consider the impact of the U.S. legislation as “provisional” when it does not have the necessary information available, prepared or analyzed (including computations) in reasonable detail to complete its accounting for the change in tax law.</w:t>
      </w:r>
    </w:p>
    <w:p>
      <w:pPr>
        <w:spacing w:after="0" w:line="1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fiscal 2018 we recognized a provisional amount of $2.0 million as a reasonable estimate of the impact of the provisions of the Act, which was included as a component of income tax expense in the consolidated statements of income (loss). During fiscal 2019, we completed our accounting for the tax effects of the enactment of the Act. We recognized a $0.4 million adjustment to the provisional tax expense recorded in fiscal 2018.</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incorporated the other impacts of the Act that became effective in fiscal 2019 in the calculation of the tax provision and effective tax rate, including the provisions related to global intangible low taxed income (“GILTI”), foreign derived intangible income (“FDII”), base erosion anti abuse tax (“BEAT”), as well as other provisions which limit tax deductibility of expenses. For fiscal 2019, the GILTI provisions have the most significant impact to us. Under the new law, U.S. taxes 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imposed on foreign income in excess of a deemed return on tangible assets of its foreign subsidiaries. The ability to benefit a deduction and foreign tax credits against a portion of the GILTI income may be limited under the GILTI rules as a result of the utilization of net operating losses, foreign sourced income, and other potential limitations within the foreign tax credit calculation.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180,169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340,362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136,474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Net debt position</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(180,769)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(73,513)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 turnover</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w:t>
            </w:r>
          </w:p>
        </w:tc>
      </w:tr>
    </w:tbl>
    <w:p>
      <w:pPr>
        <w:spacing w:after="0" w:line="157" w:lineRule="exact"/>
        <w:rPr>
          <w:sz w:val="20"/>
          <w:szCs w:val="20"/>
          <w:color w:val="auto"/>
        </w:rPr>
      </w:pPr>
    </w:p>
    <w:p>
      <w:pPr>
        <w:ind w:left="40"/>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Net debt position is the sum of cash and cash equivalents less total debt.</w:t>
      </w:r>
    </w:p>
    <w:p>
      <w:pPr>
        <w:spacing w:after="0" w:line="23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During fiscal 2018, we launched the 2018 Program, a restructuring initiative designed to reposition our organization and improve our cost structure. During fiscal 2019 and 2018, we incurred $13.7 million and $36.6 million of restructuring and turnaround costs under this program, respectively.</w:t>
      </w:r>
    </w:p>
    <w:p>
      <w:pPr>
        <w:spacing w:after="0" w:line="14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During fiscal 2017, we launched a multi-year restructuring initiative (the "2017 Program") designed to reposition our organization and improve our cost structure. We did not incur any additional charges under this program during fiscal 2019. During fiscal 2018, we incurred $7.2 million of restructuring and turnaround charges under this program. As of March 30, 2019, charges associated with the 2017 Program are complete.</w:t>
      </w:r>
    </w:p>
    <w:p>
      <w:pPr>
        <w:spacing w:after="0" w:line="16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Our primary sources of liquidity are cash and cash equivalents, internally generated cash flow from operations, our Revolving Credit Facility and proceeds from employee stock option exercises. We believe these sources are sufficient to fund our cash requirements over at least the next twelve months. Our expected cash outlays relate primarily to investments, capital expenditures, including production of the NexSys PCS and Plasma plant capacity expansions, share repurchases, cash payments under the loan agreement, restructuring and turnaround initiatives and acquisitions. These are described in more detail in </w:t>
      </w: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below.</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March 30, 2019, we had $169.4 million in cash and cash equivalents, the majority of which is held in the U.S. or in countries from which it can be freely repatriated to the U.S. On June 15, 2018, we entered into a credit agreement which provided for a $350.0 million Term Loan and a $350.0 million Revolving Credit Facility. The Credit Facilities expire on June 15, 2023. Interest on the Credit Facilities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A portion of the net proceeds of $347.8 million was used to pay down the $253.7 remaining outstanding balance on our 2012 credit agreement, as amended in fiscal 2014. The remainder of the proceeds are being used to support the launch of our NexSys PCS device and for general corporate purposes. At March 30, 2019, $336.9 million was outstanding under the Term Loan and $15.0 million was outstanding on the Revolving Credit Facility, both, with an effective interest rate of 3.8%. We also had $25.1 million of uncommitted operating lines of credit to fund our global operations under which there were no outstanding borrowings as of March 30, 2019.</w:t>
      </w:r>
    </w:p>
    <w:p>
      <w:pPr>
        <w:spacing w:after="0" w:line="18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fiscal 2019, we paid $13.1 million in scheduled principal repayments for the Term Loan. We have scheduled principal repayments of $336.9 million required through fiscal 2024. We were in compliance with the leverage and interest coverage ratios specified in the credit agreement as well as all other bank covenants as of March 30,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Overview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76"/>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right="17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19 vs. 18</w:t>
            </w:r>
          </w:p>
        </w:tc>
        <w:tc>
          <w:tcPr>
            <w:tcW w:w="260" w:type="dxa"/>
            <w:vAlign w:val="bottom"/>
          </w:tcPr>
          <w:p>
            <w:pPr>
              <w:spacing w:after="0"/>
              <w:rPr>
                <w:sz w:val="16"/>
                <w:szCs w:val="16"/>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88"/>
              </w:rPr>
              <w:t>18 vs. 17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220,350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159,738</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60,612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(73,313)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53,107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60,230</w:t>
            </w:r>
          </w:p>
        </w:tc>
        <w:tc>
          <w:tcPr>
            <w:tcW w:w="0" w:type="dxa"/>
            <w:vAlign w:val="bottom"/>
          </w:tcPr>
          <w:p>
            <w:pPr>
              <w:spacing w:after="0"/>
              <w:rPr>
                <w:sz w:val="1"/>
                <w:szCs w:val="1"/>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w w:val="96"/>
              </w:rPr>
              <w:t>Effect of exchange rate changes on cash and cash</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tcPr>
          <w:p>
            <w:pPr>
              <w:ind w:left="180"/>
              <w:spacing w:after="0" w:line="257" w:lineRule="exact"/>
              <w:rPr>
                <w:sz w:val="20"/>
                <w:szCs w:val="20"/>
                <w:color w:val="auto"/>
              </w:rPr>
            </w:pPr>
            <w:r>
              <w:rPr>
                <w:rFonts w:ascii="Arial" w:cs="Arial" w:eastAsia="Arial" w:hAnsi="Arial"/>
                <w:sz w:val="18"/>
                <w:szCs w:val="18"/>
                <w:color w:val="auto"/>
              </w:rPr>
              <w:t>equivalents</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3,939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(7,262)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shd w:val="clear" w:color="auto" w:fill="CCEEFF"/>
              </w:rPr>
              <w:t>Net increase (decrease) in 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40,605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0" w:right="160"/>
        <w:spacing w:after="0" w:line="25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eliminated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cash provided by operating activities was $159.3 million during fiscal 2019, a decrease of $61.1 million as compared with fiscal 2018. The decrease in cash provided by operating activities was primarily due to a working capital outflow driven largely by an increase accounts receivable due to higher revenue growth and collections timing, an increase in inventory to support the launch of the NexSys PCS device and decreases in accrued payroll due to severance payments associated with the 2018 Program. Net income, as adjusted for depreciation, amortization and other non-cash charges, partially offset the decrease in operating activities.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provided by operating activities was $220.4 million during fiscal 2018, an increase of $60.6 million as compared with fiscal 2017. Cash provided by operating activities increased primarily due to an increase in net income, as adjusted for depreciation and amortization, and a working capital inflow resulting from a decrease in inventories due to an overall improvement in our demand planning process. An increase in accounts payable and accrued expenses, which was largely driven by restructuring and turnaround reserves associated with the 2018 Program and variable compensation, as well as decreases in other current assets also contributed to the cash inflow.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used in investing activities was $116.1 million during fiscal 2019, an increase of $53.1 million as compared with fiscal 2018. The increase in cash used in investing activities was primarily the result of an increase in capital expenditures in the current year period due to the NexSys PCS launch and manufacturing capacity expansion projects in our Plasma business and proceeds received related to the divestiture of our SEBRA product line in the prior period.</w:t>
      </w:r>
    </w:p>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Net cash used in investing activities was $63.0 million during fiscal 2018, a decrease of $10.3 million as compared with fiscal 2017. The decrease in cash used in investing activities was primarily the result of the proceeds received related to the divestiture of our SEBRA product line and to a lesser extent a reduction in capital expenditures in fiscal 2018 as compared with fiscal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financing activities was $50.6 million during fiscal 2019, a decrease of $70.0 million as compared with fiscal 2018. Cash used in financing activities included the repayment of the $253.7 remaining outstanding balance on our 2012 credit agreement, as amended in fiscal 2014, as well as $160.0 million of share repurchases during fiscal 2019. This use in cash was partially offset by proceeds resulting from the $350.0 million Term Loan entered into in June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used in financing activities was $120.6 million during fiscal 2018, an increase of $60.2 million as compared with fiscal 2017. This increase was primarily due to $100.0 million of share repurchases and an incremental $19.0 million of principal repayments on our 2012 credit agreement, as amended in fiscal 2014, as compared with the prior year. These increases in net cash used in financing activities were partially offset by a reduction in borrowings on our previous revolving credit facility of $50.0 million in fiscal 2017 and an incremental $7.7 million of proceeds from the exercise of stock options in fiscal 2018 as compared with fiscal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and commercial commitments as of March 30, 2019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5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More than 5 years</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28,262</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284,403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44,318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12,387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31,377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1,336</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147,836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147,836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retirement plan benefit payments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6,447</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575,404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194,029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80,646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292,946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7,783</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0" w:right="100" w:hanging="5"/>
        <w:spacing w:after="0" w:line="230" w:lineRule="auto"/>
        <w:tabs>
          <w:tab w:leader="none" w:pos="167" w:val="left"/>
        </w:tabs>
        <w:numPr>
          <w:ilvl w:val="0"/>
          <w:numId w:val="17"/>
        </w:numPr>
        <w:rPr>
          <w:rFonts w:ascii="Arial" w:cs="Arial" w:eastAsia="Arial" w:hAnsi="Arial"/>
          <w:sz w:val="9"/>
          <w:szCs w:val="9"/>
          <w:color w:val="auto"/>
        </w:rPr>
      </w:pPr>
      <w:r>
        <w:rPr>
          <w:rFonts w:ascii="Arial" w:cs="Arial" w:eastAsia="Arial" w:hAnsi="Arial"/>
          <w:sz w:val="14"/>
          <w:szCs w:val="14"/>
          <w:color w:val="auto"/>
        </w:rPr>
        <w:t>Interest payments reflect the contractual interest payments on our outstanding debt and exclude the impact of interest rate swap agreements. Interest payments are projected using interest rates in effect as of March 30, 2019. Certain of these projected interest payments may differ in the future based on changes in market interest rates.</w:t>
      </w:r>
    </w:p>
    <w:p>
      <w:pPr>
        <w:ind w:left="40" w:right="200" w:hanging="5"/>
        <w:spacing w:after="0" w:line="237" w:lineRule="auto"/>
        <w:tabs>
          <w:tab w:leader="none" w:pos="167" w:val="left"/>
        </w:tabs>
        <w:numPr>
          <w:ilvl w:val="0"/>
          <w:numId w:val="17"/>
        </w:numPr>
        <w:rPr>
          <w:rFonts w:ascii="Arial" w:cs="Arial" w:eastAsia="Arial" w:hAnsi="Arial"/>
          <w:sz w:val="9"/>
          <w:szCs w:val="9"/>
          <w:color w:val="auto"/>
        </w:rPr>
      </w:pPr>
      <w:r>
        <w:rPr>
          <w:rFonts w:ascii="Arial" w:cs="Arial" w:eastAsia="Arial" w:hAnsi="Arial"/>
          <w:sz w:val="14"/>
          <w:szCs w:val="14"/>
          <w:color w:val="auto"/>
        </w:rPr>
        <w:t>Includes amounts we are committed to spend on purchase orders entered in the normal course of business for capital equipment as well as commitments with contractors for the manufacture of certain disposable products and equipment. The majority of our operating expense spending does not require any advance commitment.</w:t>
      </w:r>
    </w:p>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above table does not reflect our long-term liabilities associated with unrecognized tax benefits of $2.9 million recorded in accordance with ASC Topic 740, Income Taxes. We cannot reasonably make a reliable estimate of the period in which we expect to settle these long-term liabilities due to factors outside of our control, such as tax examinations.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While approximately 52% of our revenue during fiscal 2019 was generated by our ten largest customers, 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accordance with U.S. GAAP, we record a liability in our consolidated financial statements for these matters when a loss is known or considered probable and the amount may be reasonably estimated. Actual settlements may be different than estimated and could have a material impact on our consolidated earnings, financial position and/or cash flows. For a discussion of our material legal proceedings refer to Note 15, </w:t>
      </w:r>
      <w:r>
        <w:rPr>
          <w:rFonts w:ascii="Arial" w:cs="Arial" w:eastAsia="Arial" w:hAnsi="Arial"/>
          <w:sz w:val="18"/>
          <w:szCs w:val="18"/>
          <w:i w:val="1"/>
          <w:iCs w:val="1"/>
          <w:color w:val="auto"/>
        </w:rPr>
        <w:t>Commitments &amp; Contingencies,</w:t>
      </w:r>
      <w:r>
        <w:rPr>
          <w:rFonts w:ascii="Arial" w:cs="Arial" w:eastAsia="Arial" w:hAnsi="Arial"/>
          <w:sz w:val="18"/>
          <w:szCs w:val="18"/>
          <w:color w:val="auto"/>
        </w:rPr>
        <w:t xml:space="preserve"> to our consolidated financial statements contained in Item 8 of this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fiscal 2019, 37.3%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15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Codification ("ASC") Update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ASC Update No. 2016-02 is intended to increase the transparency and comparability among organizations by recognizing lease asset and lease</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on the balance sheet, including those previously classified as operating leases under current U.S. GAAP and disclosing key information about leasing arrangements. ASC Update No. 2016-02 is effective for fiscal years beginning after December 15, 2018, including interim periods within those fiscal years, and is applicable to us in fiscal 2020. Earlier adoption is permitted. In July 2018, the FASB issued an update to the leasing guidance to allow an additional transition option which would allow companies to adopt the standard as of the beginning of the year of adoption as opposed to the earliest comparative period presented. We adopted the new standard on March 31, 2019.</w:t>
      </w:r>
    </w:p>
    <w:p>
      <w:pPr>
        <w:spacing w:after="0" w:line="178"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Upon transition, we plan to apply the package of practical expedients permitted under ASC Update No. 2016-02 transition guidance to our entire lease portfolio at March 31, 2019. As a result, we are not required to reassess (i) whether any expired or existing contracts are or contain leases, (ii) the classification of any expired or existing leases, and (iii) initial direct costs for any existing leases.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a result of adopting ASC Update No. 2016-02, we expect to recognize additional right-of-use assets and corresponding liabilities for our existing lease portfolio on our consolidated balance sheets of approximately $20 million to $25 million, with no material impact to our consolidated statements of operations or consolidated statements of cash flows. Additionally, we are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30"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process of implementing a new lease administration and lease accounting system, and updating our controls and procedures for maintaining and accounting for our lease portfolio under the new standard.</w:t>
      </w:r>
    </w:p>
    <w:p>
      <w:pPr>
        <w:spacing w:after="0" w:line="170"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 xml:space="preserve">In June 2016, the FASB issued ASC Update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ASC Update No. 2016-13 is to intended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ASC Update No. 2016-13 is effective for annual periods beginning after December 15, 2019, and is applicable to us in fiscal 2021. We are in the process of determining the effect that the adoption will have on our financial position and results of operations.</w:t>
      </w:r>
    </w:p>
    <w:p>
      <w:pPr>
        <w:spacing w:after="0" w:line="158"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 xml:space="preserve">In March 2017, the FASB issued ASC Update No. 2017-07, </w:t>
      </w:r>
      <w:r>
        <w:rPr>
          <w:rFonts w:ascii="Arial" w:cs="Arial" w:eastAsia="Arial" w:hAnsi="Arial"/>
          <w:sz w:val="17"/>
          <w:szCs w:val="17"/>
          <w:i w:val="1"/>
          <w:iCs w:val="1"/>
          <w:color w:val="auto"/>
        </w:rPr>
        <w:t>Compensation - Retirement Benefits (Topic 715)</w:t>
      </w:r>
      <w:r>
        <w:rPr>
          <w:rFonts w:ascii="Arial" w:cs="Arial" w:eastAsia="Arial" w:hAnsi="Arial"/>
          <w:sz w:val="17"/>
          <w:szCs w:val="17"/>
          <w:color w:val="auto"/>
        </w:rPr>
        <w:t>. The guidance revises the presentation of net periodic pension cost and net periodic post-retirement benefit cost. The guidance is effective for annual periods beginning after December 15, 2018 and is applicable to us in fiscal 2020. Early adoption is permitted for all entities as of the beginning of an annual reporting period. The impact of adopting ASC Update No. 2017-07 is not expected to have a material effect on our consolidated financial statements.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June 2018, the FASB issued ASC Update No.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new guidance will align the accounting for non-employee share-based payments with the existing employee share-based transactions guidance. The guidance is effective for annual periods beginning after December 15, 2018 and is applicable to us in fiscal 2020. Early adoption is permitted for all entities, including interim periods, but no earlier than the entity's adoption of ASC Topic 606. The impact of adopting ASC Update No. 2018-07 on our financial position and results of operations is being assessed by management.</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August 2018, the FASB issued ASC Update No. 2018-15, </w:t>
      </w:r>
      <w:r>
        <w:rPr>
          <w:rFonts w:ascii="Arial" w:cs="Arial" w:eastAsia="Arial" w:hAnsi="Arial"/>
          <w:sz w:val="18"/>
          <w:szCs w:val="18"/>
          <w:i w:val="1"/>
          <w:iCs w:val="1"/>
          <w:color w:val="auto"/>
        </w:rPr>
        <w:t>Intangibles, Goodwill and Other - Internal-Use Software (Subtopic 350-40)</w:t>
      </w:r>
      <w:r>
        <w:rPr>
          <w:rFonts w:ascii="Arial" w:cs="Arial" w:eastAsia="Arial" w:hAnsi="Arial"/>
          <w:sz w:val="18"/>
          <w:szCs w:val="18"/>
          <w:color w:val="auto"/>
        </w:rPr>
        <w:t>. The new guidance will align the accounting implementation costs incurred in a cloud computing arrangement that is a service contract with the accounting for internal-use software licenses. The guidance is effective for annual periods beginning after December 15, 2019 and is applicable to us in fiscal 2021. Early adoption is permitted for all entities, including interim periods. The impact of adopting ASC Update No. 2018-15 is not expected to have a material effect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Our significant accounting policies are summarized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our consolidated financial statements contained in Item 8 of this Annual Report on Form 10-K.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identified as critical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Our estimates take into consideration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 See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and Note 6, </w:t>
      </w:r>
      <w:r>
        <w:rPr>
          <w:rFonts w:ascii="Arial" w:cs="Arial" w:eastAsia="Arial" w:hAnsi="Arial"/>
          <w:sz w:val="17"/>
          <w:szCs w:val="17"/>
          <w:i w:val="1"/>
          <w:iCs w:val="1"/>
          <w:color w:val="auto"/>
        </w:rPr>
        <w:t>Revenue</w:t>
      </w:r>
      <w:r>
        <w:rPr>
          <w:rFonts w:ascii="Arial" w:cs="Arial" w:eastAsia="Arial" w:hAnsi="Arial"/>
          <w:sz w:val="17"/>
          <w:szCs w:val="17"/>
          <w:color w:val="auto"/>
        </w:rPr>
        <w:t>, to our consolidated financial statements contained in Item 8 of this Annual Report on Form 10-K for further information.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use consistent methodologies in developing the assumptions and estimates underlying the fair value calculations used in our impairment tests, these estimates are uncertain by nature and can vary from actual results. The use of alternative valuation assumptions, including estimated revenue projections, growth rates, cash flows and discount rates could result in different fair value estimates.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events that could have a negative impact on the levels of excess fair value over carrying value of our reporting units include, but are not limited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estimated market sizes or market growth rates due to greater-than-expected declines in procedural volumes, pricing pressures, product actions and/or competitive technology developments,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Declines in our market share and penetration assumptions due to increased competition, an inability to develop or launch new and next-generation products and technology features in line with our commercialization strategies and market and/or regulatory conditions that may cause significant launch delays or product recalls,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our forecasted profitability due to an inability to implement successfully and achieve timely and sustainable cost improvement measures consistent with our expectations,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reporting units or in the structure of our business as a result of future reorganizations, acquisitions or divestitures of assets or businesses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our market-participant risk-adjusted weighted average cost of capital and increases in our market-participant tax rate and/or changes in tax laws or macroeconomic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Negative changes in one or more of these factors, among others, could result in future impairment charges.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See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and Note 9, </w:t>
      </w:r>
      <w:r>
        <w:rPr>
          <w:rFonts w:ascii="Arial" w:cs="Arial" w:eastAsia="Arial" w:hAnsi="Arial"/>
          <w:sz w:val="17"/>
          <w:szCs w:val="17"/>
          <w:i w:val="1"/>
          <w:iCs w:val="1"/>
          <w:color w:val="auto"/>
        </w:rPr>
        <w:t>Goodwill &amp; Intangible Assets,</w:t>
      </w:r>
      <w:r>
        <w:rPr>
          <w:rFonts w:ascii="Arial" w:cs="Arial" w:eastAsia="Arial" w:hAnsi="Arial"/>
          <w:sz w:val="17"/>
          <w:szCs w:val="17"/>
          <w:color w:val="auto"/>
        </w:rPr>
        <w:t xml:space="preserve"> to our consolidated financial statements contained in Item 8 of this Annual Report on Form 10-K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Provisions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base our provisions for excess, expired and obsolete inventory primarily on our estimates of forecasted net sales. A significant change in the timing or level of demand for our products as compared with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income tax provision is calculated for all jurisdictions in which we operate.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 All available evidence, both positive and negative, has been considered to determine whether, based on the weight of that evidence, a valuation allowance is needed against the deferred tax assets. Refer to Note 4,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 our consolidated financial statements contained in Item 8 of this Annual Report on Form 10-K for further information and discussion of our income tax provision and balances including a discussion of the impact of the Tax Cuts and Jobs Act enacted in December 2017.</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file income tax returns in all jurisdictions in which we operate. We record a liability for uncertain tax positions taken or expected to be taken in income tax returns. Our financial statements reflect expected future tax consequences of such positions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presuming the taxing authorities' full knowledge of the position and all relevant facts. We record a liability for the portion of unrecognized tax benefits claimed that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$6.8 million increase in the fair value of the forward contracts, whereas a 10% weakening of the U.S. dollar would result in a $7.0 million decrease in the fair value of the forward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Our exposure to changes in interest rates is associated with borrowings under our Credit Facilities, all of which is variable rate debt. Total outstanding debt under our Credit Facilities for the fiscal year ended March 30, 2019 was $351.9 million with an interest rate of 3.8% based on prevailing Adjusted LIBOR rates. An increase of 100 basis points in Adjusted LIBOR rates would result in additional annual interest expense of $3.5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130" w:right="3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Haemonetics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Haemonetics Corporation and subsidiaries (the Company) as of March 30, 2019 and March 31, 2018, the related consolidated statements of income (loss), comprehensive income (loss), stockholders' equity and cash flows for each of the three years in the period ended March 30, 2019,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March 30, 2019 and March 31, 2018, and the results of its operations and its cash flows for each of the three years in the period ended March 30, 2019, in conformity with U.S. generally accepted accounting principles.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30, 2019, based on criteria established in Internal Control-Integrated Framework issued by the Committee of Sponsoring Organizations of the Treadway Commission (2013 framework) and our report dated May 22,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discussed in Note 2 to the consolidated financial statements, the Company changed its method of accounting for revenue effective April 1, 2018 due to the adoption of Accounting Standards Update (ASU) No. 2014-09, Revenue from Contracts with Customers (Topic 606), and the related amendments.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180" w:type="dxa"/>
            <w:vAlign w:val="bottom"/>
          </w:tcPr>
          <w:p>
            <w:pPr>
              <w:jc w:val="right"/>
              <w:ind w:right="432"/>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70"/>
        </w:trPr>
        <w:tc>
          <w:tcPr>
            <w:tcW w:w="6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967,579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903,923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886,116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550,043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492,015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507,622</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417,536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411,908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378,494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298,277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316,523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301,726</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58,593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333,991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355,751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397,875</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divestiture</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Income (loss) before provision (benefit) for income taxes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73,633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59,632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(27,476)</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55,019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45,572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(26,268)</w:t>
            </w:r>
          </w:p>
        </w:tc>
      </w:tr>
      <w:tr>
        <w:trPr>
          <w:trHeight w:val="257"/>
        </w:trPr>
        <w:tc>
          <w:tcPr>
            <w:tcW w:w="6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(loss) per share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per share -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32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51,533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52,755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51,524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52,942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53,501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51,524</w:t>
            </w:r>
          </w:p>
        </w:tc>
      </w:tr>
      <w:tr>
        <w:trPr>
          <w:trHeight w:val="27"/>
        </w:trPr>
        <w:tc>
          <w:tcPr>
            <w:tcW w:w="6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1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32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(26,268)</w:t>
            </w:r>
          </w:p>
        </w:tc>
      </w:tr>
      <w:tr>
        <w:trPr>
          <w:trHeight w:val="32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Impact of defined benefit plans, net of tax</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5,220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loss on cash flow hedges, net of tax</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into earnings of cash flow hedge (gains) losses,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13,882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2,167</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43,630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59,454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(24,101)</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180" w:type="dxa"/>
            <w:vAlign w:val="bottom"/>
          </w:tcPr>
          <w:p>
            <w:pPr>
              <w:jc w:val="right"/>
              <w:ind w:right="340"/>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r>
      <w:tr>
        <w:trPr>
          <w:trHeight w:val="52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169,351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180,169</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less allowance of $3,937 at March 30, 2019 and $2,111 at March 31, 2018</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151,226</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194,337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160,799</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28,983</w:t>
            </w:r>
          </w:p>
        </w:tc>
      </w:tr>
      <w:tr>
        <w:trPr>
          <w:trHeight w:val="217"/>
        </w:trPr>
        <w:tc>
          <w:tcPr>
            <w:tcW w:w="81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576,121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521,177</w:t>
            </w:r>
          </w:p>
        </w:tc>
      </w:tr>
      <w:tr>
        <w:trPr>
          <w:trHeight w:val="33"/>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343,979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332,156</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w w:val="99"/>
              </w:rPr>
              <w:t>Intangible assets, less accumulated amortization of $263,479 at March 30, 2019 and $249,278 at March 31, 2018</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127,693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156,589</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210,819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211,395</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Deferred tax asset</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4,359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3,961</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12,061</w:t>
            </w:r>
          </w:p>
        </w:tc>
      </w:tr>
      <w:tr>
        <w:trPr>
          <w:trHeight w:val="284"/>
        </w:trPr>
        <w:tc>
          <w:tcPr>
            <w:tcW w:w="816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1,274,767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1,237,339</w:t>
            </w:r>
          </w:p>
        </w:tc>
      </w:tr>
      <w:tr>
        <w:trPr>
          <w:trHeight w:val="23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194,259</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63,361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55,265</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payroll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69,519</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91,532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65,660</w:t>
            </w:r>
          </w:p>
        </w:tc>
      </w:tr>
      <w:tr>
        <w:trPr>
          <w:trHeight w:val="33"/>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235,759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384,703</w:t>
            </w:r>
          </w:p>
        </w:tc>
      </w:tr>
      <w:tr>
        <w:trPr>
          <w:trHeight w:val="217"/>
        </w:trPr>
        <w:tc>
          <w:tcPr>
            <w:tcW w:w="8160" w:type="dxa"/>
            <w:vAlign w:val="bottom"/>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322,454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59,423</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6,526</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28,780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34,258</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8160" w:type="dxa"/>
            <w:vAlign w:val="bottom"/>
          </w:tcPr>
          <w:p>
            <w:pPr>
              <w:ind w:left="180"/>
              <w:spacing w:after="0"/>
              <w:rPr>
                <w:sz w:val="20"/>
                <w:szCs w:val="20"/>
                <w:color w:val="auto"/>
              </w:rPr>
            </w:pPr>
            <w:r>
              <w:rPr>
                <w:rFonts w:ascii="Arial" w:cs="Arial" w:eastAsia="Arial" w:hAnsi="Arial"/>
                <w:sz w:val="16"/>
                <w:szCs w:val="16"/>
                <w:color w:val="auto"/>
                <w:w w:val="96"/>
              </w:rPr>
              <w:t>Common stock, $0.01 par value; Authorized — 150,000,000 shares; Issued and outstanding — 51,019,918 shares at</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8160" w:type="dxa"/>
            <w:vAlign w:val="bottom"/>
          </w:tcPr>
          <w:p>
            <w:pPr>
              <w:ind w:left="180"/>
              <w:spacing w:after="0"/>
              <w:rPr>
                <w:sz w:val="20"/>
                <w:szCs w:val="20"/>
                <w:color w:val="auto"/>
              </w:rPr>
            </w:pPr>
            <w:r>
              <w:rPr>
                <w:rFonts w:ascii="Arial" w:cs="Arial" w:eastAsia="Arial" w:hAnsi="Arial"/>
                <w:sz w:val="16"/>
                <w:szCs w:val="16"/>
                <w:color w:val="auto"/>
              </w:rPr>
              <w:t>March 30, 2019 and 52,342,965 shares at March 31, 2018</w:t>
            </w:r>
          </w:p>
        </w:tc>
        <w:tc>
          <w:tcPr>
            <w:tcW w:w="24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523</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503,955</w:t>
            </w:r>
          </w:p>
        </w:tc>
      </w:tr>
      <w:tr>
        <w:trPr>
          <w:trHeight w:val="237"/>
        </w:trPr>
        <w:tc>
          <w:tcPr>
            <w:tcW w:w="816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161,418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266,942</w:t>
            </w:r>
          </w:p>
        </w:tc>
      </w:tr>
      <w:tr>
        <w:trPr>
          <w:trHeight w:val="33"/>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(18,991)</w:t>
            </w:r>
          </w:p>
        </w:tc>
      </w:tr>
      <w:tr>
        <w:trPr>
          <w:trHeight w:val="217"/>
        </w:trPr>
        <w:tc>
          <w:tcPr>
            <w:tcW w:w="816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667,868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752,429</w:t>
            </w:r>
          </w:p>
        </w:tc>
      </w:tr>
      <w:tr>
        <w:trPr>
          <w:trHeight w:val="33"/>
        </w:trPr>
        <w:tc>
          <w:tcPr>
            <w:tcW w:w="8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1,274,767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1,237,339</w:t>
            </w: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60"/>
          </w:cols>
          <w:pgMar w:left="240" w:top="130" w:right="49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88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280" w:type="dxa"/>
            <w:vAlign w:val="bottom"/>
          </w:tcPr>
          <w:p>
            <w:pPr>
              <w:spacing w:after="0"/>
              <w:rPr>
                <w:sz w:val="9"/>
                <w:szCs w:val="9"/>
                <w:color w:val="auto"/>
              </w:rPr>
            </w:pPr>
          </w:p>
        </w:tc>
        <w:tc>
          <w:tcPr>
            <w:tcW w:w="960" w:type="dxa"/>
            <w:vAlign w:val="bottom"/>
          </w:tcPr>
          <w:p>
            <w:pPr>
              <w:jc w:val="right"/>
              <w:ind w:right="40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Paid-in Capital</w:t>
            </w:r>
          </w:p>
        </w:tc>
        <w:tc>
          <w:tcPr>
            <w:tcW w:w="1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Income/(Loss)</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Stockholders’ Equity</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April 2, 2016</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50,932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439,912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316,184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721,565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3,559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29,425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29,437</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9,150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(26,268)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(26,268)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2,167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2,167</w:t>
            </w:r>
          </w:p>
        </w:tc>
        <w:tc>
          <w:tcPr>
            <w:tcW w:w="0" w:type="dxa"/>
            <w:vAlign w:val="bottom"/>
          </w:tcPr>
          <w:p>
            <w:pPr>
              <w:spacing w:after="0"/>
              <w:rPr>
                <w:sz w:val="1"/>
                <w:szCs w:val="1"/>
                <w:color w:val="auto"/>
              </w:rPr>
            </w:pPr>
          </w:p>
        </w:tc>
      </w:tr>
      <w:tr>
        <w:trPr>
          <w:trHeight w:val="283"/>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April 1, 2017</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52,255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482,044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289,916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(32,873)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739,610</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3,246</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37,083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37,094</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13,025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13,025</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45,572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13,882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13,882</w:t>
            </w:r>
          </w:p>
        </w:tc>
        <w:tc>
          <w:tcPr>
            <w:tcW w:w="0" w:type="dxa"/>
            <w:vAlign w:val="bottom"/>
          </w:tcPr>
          <w:p>
            <w:pPr>
              <w:spacing w:after="0"/>
              <w:rPr>
                <w:sz w:val="1"/>
                <w:szCs w:val="1"/>
                <w:color w:val="auto"/>
              </w:rPr>
            </w:pPr>
          </w:p>
        </w:tc>
      </w:tr>
      <w:tr>
        <w:trPr>
          <w:trHeight w:val="283"/>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52,343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503,955</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266,942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(18,991)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752,429</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10,188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10,191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17,188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17,188</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Cumulative effect of change in accounting standards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55,019</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(11,389)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 March 30, 2019</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536,320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161,418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667,868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16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April 1,</w:t>
            </w:r>
          </w:p>
        </w:tc>
      </w:tr>
      <w:tr>
        <w:trPr>
          <w:trHeight w:val="192"/>
        </w:trPr>
        <w:tc>
          <w:tcPr>
            <w:tcW w:w="6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55,019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45,572</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(26,268)</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89,733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21,170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2,673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75,348</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Gain on divestiture</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provision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Unrealized (gain) loss from hedging activities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517</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11,381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860</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 in accounts receivable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(38,064)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5,087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3,155</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1,395</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(18,253)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17,736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41,401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21,072</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159,281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220,350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159,738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(76,135)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divestiture</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2,822</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(116,148)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(63,041)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(73,313)</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Term loan borrowings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347,780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term loan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(266,853)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(42,683)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increase (decrease) in short-term loans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(50,727)</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10,191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37,094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29,437</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repurchases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(50,628)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(120,643)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(60,413)</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(10,818)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40,605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24,441</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180,169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139,564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115,123</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169,351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180,169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139,564</w:t>
            </w:r>
          </w:p>
        </w:tc>
      </w:tr>
      <w:tr>
        <w:trPr>
          <w:trHeight w:val="22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13,116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7,663</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7,850</w:t>
            </w: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6,957</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16,345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8,963</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6,255</w:t>
            </w: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229"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Haemonetics Corporation ("Haemonetics" or the "Company") is a global healthcare company dedicated to providing a suite of innovative hematology products and solutions to customers to help improve patient care and reduce the cost of healthcare. Its technology addresses important medical markets including blood and plasma component collection, the surgical suite, and hospital transfusion services.</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Blood is essential to a modern healthcare system. 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Haemonetics develops and markets a wide range of devices and solutions to serve its customers. The Company provides plasma collection systems and software that enable the collection of plasma used by biopharmaceutical companies to make life saving pharmaceuticals and also provides analytical devices for measuring hemostasis that enable healthcare providers to better manage their patients’ bleeding risk. In addition, the Company makes blood processing systems and software that make blood donation more efficient and track life giving blood components. Finally, Haemonetics supplies systems and software that facilitate blood transfusions and cell processing.</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accompanying consolidated financial statements present separately the Company's consolidated financial position, results of operations, cash flows and changes in shareholders’ equity. The consolidated financial statements have been prepared in accordance with U.S. generally accepted accounting principles (“U.S. GAAP”). All amounts presented, except per share amounts, are stated in thousands of U.S. dollars, unless otherwise indicated. The Company has assessed its ability to continue as a going concern. As of March 30, 2019, Haemonetics has concluded that substantial doubt about its ability to continue as a going concern does not exist.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Refer to Note 20,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information pertaining to the divestiture of a manufacturing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Haemonetics' fiscal year ends on the Saturday closest to the last day of March. Fiscal 2019, 2018 and 2017 include 52 weeks with each quarter having 13 weeks.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accompanying consolidated financial statements include all accounts including those of its subsidiaries. All significant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its estimates and assumptions. The Company considers estimates to be critical if they are required to make assumptions about material matters that are uncertain at the time of estimation or if materially different estimates could have been made or it is reasonably likely that the accounting estimate will change from period to period. The following are areas considered to be critical and require management’s judgment: revenue recognition, inventory provisions, intangible asset and goodwill valuation, legal and other judgmental accruals and income taxes.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30" w:right="27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immaterial reclassifications have been made to prior years' amounts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Company may become involved in various legal proceedings that arise in the ordinary course of business, including, without limitation, patent infringement, product liability and environmental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the Company records the minimum loss contingency amount, which could be zero. These estimates are often initially developed substantially earlier than the ultimate loss is known and the estimates are reevaluated each accounting period, as additional information is available. As information becomes known, an additional loss provision is recorded when either a best estimate can be made or the minimum loss amount is increased. When events result in an expectation of a more favorable outcome than previously expected, the best estimate is changed to a lower amount.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Company's revenue recognition policy is to recognize revenues from product sales, software and services in accordance with the Financial Accounting Standards Board ("FASB") issued Accounting Standards Codification ("ASC") Update No. 2014-19,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the Company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Revenues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majority of the Company’s performance obligations related to product sales are satisfied at a point in time. Product revenue consists of the sale of its disposable blood component collection and processing sets and the related equipment. The Company’s performance obligation related to product sales is satisfied upon shipment or delivery to the customer based on the specified terms set forth in the customer contract. Shipping and handling activities performed after a customer obtains control of the good are treated as fulfillment activities and are not considered to be a separate performance obligation. Revenue is recognized over time for maintenance plans provided to customers that provide services beyond the Company’s standard warranty period. Payment terms between customers related to product sales vary by the type of customer, country of sale, and the products or services offered and could result in an unbilled receivable or deferred revenue balance depending on whether the performance obligation has been satisfied (or partially satisfied).</w:t>
      </w:r>
    </w:p>
    <w:p>
      <w:pPr>
        <w:spacing w:after="0" w:line="167"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For product sales to distributors, the Company recognizes revenue for both equipment and disposables upon shipment to distributors, which is when its performance obligations are complete. The Company's standard contracts with its distributors state that title to the equipment passes to the distributors at point of shipment to a distributor’s location. The distributors are responsible for shipment to the end customer along with any installation, training and acceptance of the equipment by the end customer. Payments from distributors are not contingent upon resale of the product.</w:t>
      </w:r>
    </w:p>
    <w:p>
      <w:pPr>
        <w:spacing w:after="0" w:line="15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also places equipment at customer sites. While the Company retains ownership of this equipment, the customer has the right to use it for a period of time provided they meet certain agreed to conditions. The Company recovers the cost of providing the equipment from the sale of its disposables.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Software and Other Revenues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a lesser extent, the Company enters into other types of contracts including certain software licensing arrangements to provide software solutions to support its plasma, blood collection and hospital customers. A portion of its software sales are perpetual licenses typically accompanied by significant implementation services related to software customization as well as other professional and technical services. The Company generally recognizes revenue from the sale of perpetual licenses and related customization services over time (the Company is creating or enhancing an asset that the customer controls) using an input method which requires it to make estimates of the extent of progress toward completion of the contract. When the Company provides other services, including in some instances hosting, technical support and maintenance, it recognizes these fees and charges over time (the customer simultaneously receives and consumes benefits), as performance obligations for these services are satisfied during the contract period. Certain of the Company's software licensing arrangements are term-based licenses that include a per-collection or a usage-based fee related to the use of the license and the related technical support and hosting services. For these usage-based arrangements, the Company applies the revenue recognition exception resulting in revenue recognition occurring upon the later of actual usage or satisfaction of the related performance obligations. The payment terms for software licensing arrangements vary by customer pursuant to the terms set forth in the customer contract and result in an unbilled receivable or deferred revenue balance depending on whether the performance obligation has been satisfied (or partially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The Company's estimates take into consideration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the Company is unable to estimate the expected rebates reasonably, it records a liability for the maximum potential rebate or discount that could be earned. In circumstances where the Company provides upfront rebate payments to customers, it capitalizes the rebate payments and amortizes the resulting asset as a reduction of revenue using a systematic method over the life of the contract.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Balances</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consolidated balance sheets. The difference in timing between billing and revenue recognition primarily occurs in software licensing arrangements, resulting in contract assets and contract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w:t>
      </w:r>
    </w:p>
    <w:p>
      <w:pPr>
        <w:spacing w:after="0" w:line="225"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Company elected not to disclose the value of transaction price allocated to unsatisfied performance obligations for contracts with an original expected length of one year or less. When applicable, the Company has also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Taxes</w:t>
      </w:r>
    </w:p>
    <w:p>
      <w:pPr>
        <w:spacing w:after="0" w:line="22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The Company is required to collect sales or valued added taxes in connection with the sale of certain of its products. The Company reports revenues net of these amounts as they are promptly remitted to the relevant taxing authority.</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 also required to pay a medical device excise tax relating to U.S. sales of Class I, II and III medical devices. This excise tax, which went into effect January 1, 2013, was established as part of the March 2010 U.S. healthcare reform legislation and was included in selling, general and administrative expenses. In December 2015, this tax was suspended for two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years, beginning on January 1, 2016. In January 2018, another temporary two year suspension of the excise tax was passed, extending the suspension until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charged directly to earnings and included in other expense, net on the consolidated statements of income (loss). The impact of foreign exchange on long-term intercompany loans, for which repayment has not been scheduled or planned, are recorded in accumulated other comprehensive loss on the consolidated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March 30, 2019, cash and cash equivalents consisted of investments in United States Government Agency and institutional money market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establishes a specific allowance for customers when it is probable that they will not be able to meet their financial obligations. Customer accounts are reviewed individually on a regular basis and reserves are established as deemed appropriate. The Company also maintains a general reserve using a percentage that is established based upon the age of its receivables and its collection history. The Company establishes allowances for balances not yet due and past due accounts based on past experience.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Inventories are stated at the lower of cost or market and include the cost of material, labor and manufacturing overhead. Cost is determined with the first-in, first-out method. The Company has based its provisions for excess, expired and obsolete inventory primarily on its estimates of forecasted net sales. Significant changes in the timing or level of demand for the Company's products result in recording additional provisions for excess, expired and obsolete inventory. Additionally, uncertain timing of next-generation product approvals, variability in product launch strategies, non-cancelable purchase commitments, product recalls and variation in product utilization all affect the Company's estimates related to excess, expired and obsolete inventory.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Property, plant and equipment is recorded at historical cost. The Company provides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Asset Classification</w:t>
            </w:r>
          </w:p>
        </w:tc>
        <w:tc>
          <w:tcPr>
            <w:tcW w:w="4560" w:type="dxa"/>
            <w:vAlign w:val="bottom"/>
            <w:shd w:val="clear" w:color="auto" w:fill="CCEEFF"/>
          </w:tcPr>
          <w:p>
            <w:pPr>
              <w:jc w:val="center"/>
              <w:ind w:left="3235"/>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vMerge w:val="continue"/>
            <w:shd w:val="clear" w:color="auto" w:fill="CCEEFF"/>
          </w:tcPr>
          <w:p>
            <w:pPr>
              <w:spacing w:after="0"/>
              <w:rPr>
                <w:sz w:val="16"/>
                <w:szCs w:val="16"/>
                <w:color w:val="auto"/>
              </w:rPr>
            </w:pPr>
          </w:p>
        </w:tc>
        <w:tc>
          <w:tcPr>
            <w:tcW w:w="4560" w:type="dxa"/>
            <w:vAlign w:val="bottom"/>
            <w:tcBorders>
              <w:bottom w:val="single" w:sz="8" w:color="auto"/>
            </w:tcBorders>
            <w:shd w:val="clear" w:color="auto" w:fill="CCEEFF"/>
          </w:tcPr>
          <w:p>
            <w:pPr>
              <w:jc w:val="center"/>
              <w:ind w:left="3235"/>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Building</w:t>
            </w:r>
          </w:p>
        </w:tc>
        <w:tc>
          <w:tcPr>
            <w:tcW w:w="4560" w:type="dxa"/>
            <w:vAlign w:val="bottom"/>
          </w:tcPr>
          <w:p>
            <w:pPr>
              <w:jc w:val="center"/>
              <w:ind w:left="3235"/>
              <w:spacing w:after="0"/>
              <w:rPr>
                <w:sz w:val="20"/>
                <w:szCs w:val="20"/>
                <w:color w:val="auto"/>
              </w:rPr>
            </w:pPr>
            <w:r>
              <w:rPr>
                <w:rFonts w:ascii="Arial" w:cs="Arial" w:eastAsia="Arial" w:hAnsi="Arial"/>
                <w:sz w:val="18"/>
                <w:szCs w:val="18"/>
                <w:color w:val="auto"/>
                <w:w w:val="89"/>
              </w:rPr>
              <w:t>30-40 Years</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improvements</w:t>
            </w:r>
          </w:p>
        </w:tc>
        <w:tc>
          <w:tcPr>
            <w:tcW w:w="4560" w:type="dxa"/>
            <w:vAlign w:val="bottom"/>
            <w:tcBorders>
              <w:bottom w:val="single" w:sz="8" w:color="CCEEFF"/>
            </w:tcBorders>
            <w:shd w:val="clear" w:color="auto" w:fill="CCEEFF"/>
          </w:tcPr>
          <w:p>
            <w:pPr>
              <w:jc w:val="center"/>
              <w:ind w:left="3235"/>
              <w:spacing w:after="0"/>
              <w:rPr>
                <w:sz w:val="20"/>
                <w:szCs w:val="20"/>
                <w:color w:val="auto"/>
              </w:rPr>
            </w:pPr>
            <w:r>
              <w:rPr>
                <w:rFonts w:ascii="Arial" w:cs="Arial" w:eastAsia="Arial" w:hAnsi="Arial"/>
                <w:sz w:val="18"/>
                <w:szCs w:val="18"/>
                <w:color w:val="auto"/>
                <w:w w:val="86"/>
              </w:rPr>
              <w:t>5-20 Years</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Plant equipment and machinery</w:t>
            </w:r>
          </w:p>
        </w:tc>
        <w:tc>
          <w:tcPr>
            <w:tcW w:w="4560" w:type="dxa"/>
            <w:vAlign w:val="bottom"/>
          </w:tcPr>
          <w:p>
            <w:pPr>
              <w:jc w:val="center"/>
              <w:ind w:left="3235"/>
              <w:spacing w:after="0"/>
              <w:rPr>
                <w:sz w:val="20"/>
                <w:szCs w:val="20"/>
                <w:color w:val="auto"/>
              </w:rPr>
            </w:pPr>
            <w:r>
              <w:rPr>
                <w:rFonts w:ascii="Arial" w:cs="Arial" w:eastAsia="Arial" w:hAnsi="Arial"/>
                <w:sz w:val="18"/>
                <w:szCs w:val="18"/>
                <w:color w:val="auto"/>
                <w:w w:val="86"/>
              </w:rPr>
              <w:t>3-15 Years</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4560" w:type="dxa"/>
            <w:vAlign w:val="bottom"/>
            <w:tcBorders>
              <w:bottom w:val="single" w:sz="8" w:color="CCEEFF"/>
            </w:tcBorders>
            <w:shd w:val="clear" w:color="auto" w:fill="CCEEFF"/>
          </w:tcPr>
          <w:p>
            <w:pPr>
              <w:jc w:val="center"/>
              <w:ind w:left="3235"/>
              <w:spacing w:after="0"/>
              <w:rPr>
                <w:sz w:val="20"/>
                <w:szCs w:val="20"/>
                <w:color w:val="auto"/>
              </w:rPr>
            </w:pPr>
            <w:r>
              <w:rPr>
                <w:rFonts w:ascii="Arial" w:cs="Arial" w:eastAsia="Arial" w:hAnsi="Arial"/>
                <w:sz w:val="18"/>
                <w:szCs w:val="18"/>
                <w:color w:val="auto"/>
                <w:w w:val="86"/>
              </w:rPr>
              <w:t>3-10 Years</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Haemonetics equipment</w:t>
            </w:r>
          </w:p>
        </w:tc>
        <w:tc>
          <w:tcPr>
            <w:tcW w:w="4560" w:type="dxa"/>
            <w:vAlign w:val="bottom"/>
          </w:tcPr>
          <w:p>
            <w:pPr>
              <w:jc w:val="center"/>
              <w:ind w:left="3235"/>
              <w:spacing w:after="0"/>
              <w:rPr>
                <w:sz w:val="20"/>
                <w:szCs w:val="20"/>
                <w:color w:val="auto"/>
              </w:rPr>
            </w:pPr>
            <w:r>
              <w:rPr>
                <w:rFonts w:ascii="Arial" w:cs="Arial" w:eastAsia="Arial" w:hAnsi="Arial"/>
                <w:sz w:val="18"/>
                <w:szCs w:val="18"/>
                <w:color w:val="auto"/>
                <w:w w:val="87"/>
              </w:rPr>
              <w:t>3-7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evaluates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installed base of devices includes devices owned by the Company and devices sold to the customer. The asset on its balance sheet classified as Haemonetics equipment consists of medical devices installed at customer sites but owned by Haemonetics. Generally the customer has the right to use it for a period of time as long as they meet the conditions the Company has established, which among other things, generally include one or more of the following:</w:t>
      </w:r>
    </w:p>
    <w:p>
      <w:pPr>
        <w:spacing w:after="0" w:line="214"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 and consumption of a certain level of disposable products</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monthly rental fees</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3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Consistent with the impairment tests noted below for other intangible assets subject to amortization, the Company reviews Haemonetics equipment and their related useful lives at least once a year, or more frequently if certain conditions arise, to determine if any adverse conditions exist that would indicate the carrying value of these assets may not be recoverable. To conduct these reviews, the Company estimates the future amount and timing of demand for disposables used with these devices, from which it generate revenues. The Company also considers product life cycle in its evaluation of useful life and recoverability. Changes in expected demand can result in additional depreciation expense, which is classified as cost of goods sold. Any significant unanticipated changes in demand could impact the value of the Company's devices and its reported operating results.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consolidated statements of income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represents the excess purchase price over the fair value of the net tangible and other identifiable intangible assets acquired. Goodwill is not amortized. Instead goodwill is reviewed for impairment at least annually, or on an interim basis between annual tests when events or circumstances indicate that it is more likely than not that the fair value of a reporting unit is less than its carrying value. The Company performs its annual impairment test on the first day of the fiscal fourth quarter for each of its reporting units.</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Under ASC Update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xml:space="preserve"> entities perform their goodwill impairment test by comparing the fair value of a reporting unit with its carrying amount. An impairment charge is recognized for the amount by which the carrying value exceeds the reporting unit's fair value. A reporting unit is defined as an operating segment or one level below an operating segment, referred to as a component. The Company determines its reporting units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Its reporting units for purposes of assessing goodwill impairment are organized primarily based on operating segments and geography and include: (a) North America Plasma, (b) North America Blood Center, (c) North America Hospital, (d) Europe, Middle East and Africa (collectively "EMEA"), (e) Asia-Pacific and (f) Japan.</w:t>
      </w:r>
    </w:p>
    <w:p>
      <w:pPr>
        <w:spacing w:after="0" w:line="16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When allocating goodwill from business combinations to its reporting units, the Company assigns goodwill to the reporting units that it expects to benefit from the respective business combination at the time of acquisition. In addition, for purposes of performing its goodwill impairment tests, assets and liabilities, including corporate assets, which relate to a reporting unit’s operations and would be considered in determining its fair value, are allocated to the individual reporting units. The Company allocates assets and liabilities not directly related to a specific reporting unit, but from which the reporting unit benefits, based primarily on the respective revenue contribution of each reporting unit.</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uses the income approach, specifically the discounted cash flow method, to derive the fair value of each of its reporting units in preparing its goodwill impairment assessments. This approach calculates fair value by estimating the after-tax cash flows attributable to a reporting unit and then discounting these after-tax cash flows to a present value using a risk-adjusted discount rate. The Company selected this method as being the most meaningful in preparing its goodwill assessments because the use of the income approach typically generates a more precise measurement of fair value than the market approach. In applying the income approach to its accounting for goodwill, the Company makes assumptions about the amount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and timing of future expected cash flows, terminal value growth rates and appropriate discount rates. The amount and timing of future cash flows within the Company's discounted cash flow analysis is based on its most recent operational budgets, long range strategic plans and other estimates. The terminal value growth rate is used to calculate the value of cash flows beyond the last projected period in the Company's discounted cash flow analysis and reflects the Company's best estimates for stable, perpetual growth of its reporting units. The Company uses estimates of market-participant risk adjusted weighted average cost of capital as a basis for determining the discount rates to apply to its reporting units’ future expected cash flows. The Company corroborated the valuations that arose from the discounted cash flow approach by performing both a market multiple valuation and by reconciling the aggregate fair value of its reporting units to its market capitalization at the time of the test.</w:t>
      </w:r>
    </w:p>
    <w:p>
      <w:pPr>
        <w:spacing w:after="0" w:line="17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fourth quarter of fiscal 2019 and 2018, the Company performed its annual goodwill impairment test under the guidelines of ASC Update No. 2017-04. The results of the goodwill impairment test performed indicated that the estimated fair value of all of its reporting units exceeded their respective carrying values. There were no reporting units at risk of impairment as of the fiscal 2019 and 2018 annual test date. During fiscal 2017, the Company recorded goodwill impairment charges of $57.0 million.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reviews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its products or the size of the market for its products.</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When an impairment indicator exists, the Company tests the intangible asset for recoverability. For purposes of the recoverability test, the Company groups its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the Company will write the carrying value down to the fair value in the period identified.</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generally calculates the fair value of its intangible assets as the present value of estimated future cash flows it expects to generate from the asset using a risk-adjusted discount rate. In determining its estimated future cash flows associated with its intangible assets, the Company uses estimates and assumptions about future revenue contributions, cost structures and remaining useful lives of the asset (asset group).</w:t>
      </w:r>
    </w:p>
    <w:p>
      <w:pPr>
        <w:spacing w:after="0" w:line="16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If the Company determines the estimate of an intangible asset's remaining useful life should be reduced based on its expected use of the asset, the remaining carrying amount of the asset is amortized prospectively over the revised estimated useful life. During fiscal 2019 and 2018 the Company did not incur any intangible asset impairments. During fiscal 2017, the Company impaired $4.8 million of intangible assets. See Note 9, </w:t>
      </w:r>
      <w:r>
        <w:rPr>
          <w:rFonts w:ascii="Arial" w:cs="Arial" w:eastAsia="Arial" w:hAnsi="Arial"/>
          <w:sz w:val="16"/>
          <w:szCs w:val="16"/>
          <w:i w:val="1"/>
          <w:iCs w:val="1"/>
          <w:color w:val="auto"/>
        </w:rPr>
        <w:t>Goodwill &amp; Intangible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Costs of Computer Software to be Sold, Leased, or Otherwise Marketed</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ASC Topic 985-20, </w:t>
      </w:r>
      <w:r>
        <w:rPr>
          <w:rFonts w:ascii="Arial" w:cs="Arial" w:eastAsia="Arial" w:hAnsi="Arial"/>
          <w:sz w:val="17"/>
          <w:szCs w:val="17"/>
          <w:i w:val="1"/>
          <w:iCs w:val="1"/>
          <w:color w:val="auto"/>
        </w:rPr>
        <w:t>Software - Costs of Software to be Sold, Leased or Marketed</w:t>
      </w:r>
      <w:r>
        <w:rPr>
          <w:rFonts w:ascii="Arial" w:cs="Arial" w:eastAsia="Arial" w:hAnsi="Arial"/>
          <w:sz w:val="17"/>
          <w:szCs w:val="17"/>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5 to 10 years. Technological feasibility is established when it has a detailed design of the software and when research and development activities on the underlying device, if applicable, are completed. The Company capitalizes costs associated with both software that it sells as a separate product and software that is embedded in a device.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reviews the net realizable value of capitalized assets periodically to assess the recoverability of amounts capitalized. There were no impairment charges recorded during fiscal 2019 and 2018. During fiscal 2017, the Company recorded $4.0 million of impairment charges. In the future, the net realizable value may be adversely affected by the loss of a significant customer or a significant change in the market place, which could result in an impairment being recorded.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6" w:right="25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 represent items payable or expected to settle within the next twelve months. The items included in the fiscal year end balances were: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contracts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1,583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taxes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5,340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29,991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91,532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65,660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long-term liabilities represent items that are not payable or expected to settle within the next twelve months. The items included in the fiscal year end balances were: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pension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tax benefit</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2,850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Transition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9,526</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28,780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34,258</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research and development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advertising costs are expensed as incurred and are included in selling, general and administrative expenses in the consolidated statements of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$4.5 million, $3.1 million and $2.5 million in fiscal 2019, 2018 and 2017,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 income tax provision is calculated for all jurisdictions in which the Company operates.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the Company's deferred tax assets that are not more-likely-than-not realizable. All available evidence, both positive and negative, has been considered to determine whether, based on the weight of that evidence, a valuation allowance is needed against the deferred tax assets. Refer to Note 4,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further information and discussion of the Company's income tax provision and balances including a discussion of the impact of the Tax Cuts and Jobs Act (the "Act") enacted in December 2017.</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files income tax returns in all jurisdictions in which it operates. The Company records a liability for uncertain tax positions taken or expected to be taken in income tax returns. The Company's financial statements reflect expected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tax consequences of such positions presuming the taxing authorities' full knowledge of the position and all relevant facts. The Company records a liability for the portion of unrecognized tax benefits claimed that it has determined are not more-likely-than-not realizable. These tax reserves have been established based on management's assessment as to the potential exposure attributable to the Company's uncertain tax positions as well as interest and penalties attributable to these uncertain tax positions. All tax reserves are analyzed quarterly and adjustments are made as events occur that result in changes in judgment.</w:t>
      </w:r>
    </w:p>
    <w:p>
      <w:pPr>
        <w:spacing w:after="0" w:line="154"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color w:val="auto"/>
        </w:rPr>
        <w:t>The Company evaluates at the end of each reporting period whether some or all of the undistributed earnings of its foreign subsidiaries are permanently reinvested. The Company recognizes deferred income tax liabilities to the extent that management asserts that undistributed earnings of its foreign subsidiaries are not permanently reinvested or will not be permanently reinvested in the future. The Company's position is based upon several factors including management’s evaluation of the Haemonetics and its subsidiaries’ financial requirements, the short-term and long-term operational and fiscal objectives of the Company and the tax consequences associated with the repatriation of earnings.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 xml:space="preserve">The Company accounts for its derivative financial instruments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and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In accordance with ASC 815, the Company records all derivatives on the balance sheet at fair value. The accounting for the change in the fair value of derivatives depends on the intended use of the derivative, whether the Company has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w:t>
      </w:r>
    </w:p>
    <w:p>
      <w:pPr>
        <w:spacing w:after="0" w:line="2" w:lineRule="exact"/>
        <w:rPr>
          <w:sz w:val="20"/>
          <w:szCs w:val="20"/>
          <w:color w:val="auto"/>
        </w:rPr>
      </w:pPr>
    </w:p>
    <w:p>
      <w:pPr>
        <w:ind w:right="80" w:firstLine="8"/>
        <w:spacing w:after="0" w:line="254"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offset 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The Company does not use derivative financial instruments for trading or speculation purposes.</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the underlying hedged transaction affects earnings, the gains or losses on the forward foreign exchange rate contracts designated as hedges are recorded in net revenues, cost of goods sold, operating expenses and other expense, net in the Company's consolidated statements of income (loss), depending on the nature of the underlying hedged transactions. The cash flows related to the gains and losses are classified in the consolidated statements of cash flows as part of cash flows from operating activities. For those derivative instruments that are not designated as part of a hedging relationship the Company records the gains or losses in earnings currently. These gains and losses are intended to offset the gains and losses recorded on net monetary assets or liabilities that are denominated in foreign currencies. The Company recorded foreign currency losses of $2.3 million, $0.2 million and $1.8 million in fiscal 2019, 2018 and 2017, respectively.</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 quarterly basis, the Company assesses whether the cash flow hedges are highly effective in offsetting changes in the cash flow of the hedged item. The Company manages the credit risk of its counterparties by dealing only with institutions that it considers financially sound and consider the risk of non-performance to be remote. Additionally,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derivative instruments do not subject its earnings or cash flows to material risk, as gains and losses on these derivatives are intended to offset losses and gains on the item being hedged. The Company does not enter into derivative transactions for speculative purposes and it does not have any non-derivative instruments that are designated as hedging instruments pursuant to ASC 815.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expenses the fair value of share-based awards granted to employees, board members and others, net of estimated forfeitures. To calculate the grant-date fair value of its stock options the Company uses the Black-Scholes option-pricing model and for performance share units it uses Monte Carlo simulation models.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Associated with Exit Activities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records employee termination costs in accordance with ASC Topic 712</w:t>
      </w:r>
      <w:r>
        <w:rPr>
          <w:rFonts w:ascii="Arial" w:cs="Arial" w:eastAsia="Arial" w:hAnsi="Arial"/>
          <w:sz w:val="17"/>
          <w:szCs w:val="17"/>
          <w:i w:val="1"/>
          <w:iCs w:val="1"/>
          <w:color w:val="auto"/>
        </w:rPr>
        <w:t>, Compensation - Nonretirement and Postemployment Benefits</w:t>
      </w:r>
      <w:r>
        <w:rPr>
          <w:rFonts w:ascii="Arial" w:cs="Arial" w:eastAsia="Arial" w:hAnsi="Arial"/>
          <w:sz w:val="17"/>
          <w:szCs w:val="17"/>
          <w:color w:val="auto"/>
        </w:rPr>
        <w:t>, if it pays the benefits as part of an on-going benefit arrangement, which includes benefits provided as part of its established severance policies or that it provides in accordance with international statutory requirements. The Company accrues employee termination costs associated with an on-going benefit arrangement if the obligation is attributable to prior services rendered, the rights to the benefits have vested, the payment is probable and the liability can be reasonably estimated. The Company accounts for employee termination benefits that represent a one-time benefit in accordance with ASC Topic 420</w:t>
      </w:r>
      <w:r>
        <w:rPr>
          <w:rFonts w:ascii="Arial" w:cs="Arial" w:eastAsia="Arial" w:hAnsi="Arial"/>
          <w:sz w:val="17"/>
          <w:szCs w:val="17"/>
          <w:i w:val="1"/>
          <w:iCs w:val="1"/>
          <w:color w:val="auto"/>
        </w:rPr>
        <w:t>, Exit or Disposal</w:t>
      </w:r>
      <w:r>
        <w:rPr>
          <w:rFonts w:ascii="Arial" w:cs="Arial" w:eastAsia="Arial" w:hAnsi="Arial"/>
          <w:sz w:val="17"/>
          <w:szCs w:val="17"/>
          <w:color w:val="auto"/>
        </w:rPr>
        <w:t xml:space="preserve"> </w:t>
      </w:r>
      <w:r>
        <w:rPr>
          <w:rFonts w:ascii="Arial" w:cs="Arial" w:eastAsia="Arial" w:hAnsi="Arial"/>
          <w:sz w:val="17"/>
          <w:szCs w:val="17"/>
          <w:i w:val="1"/>
          <w:iCs w:val="1"/>
          <w:color w:val="auto"/>
        </w:rPr>
        <w:t>Cost Obligation</w:t>
      </w:r>
      <w:r>
        <w:rPr>
          <w:rFonts w:ascii="Arial" w:cs="Arial" w:eastAsia="Arial" w:hAnsi="Arial"/>
          <w:sz w:val="17"/>
          <w:szCs w:val="17"/>
          <w:color w:val="auto"/>
        </w:rPr>
        <w:t>s. It records such costs into expense over the employee’s future service period, if any.</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Other costs associated with exit activities may include contract termination costs, including costs related to leased facilities to be abandoned or subleased, consultant fees and impairments of long-lived assets. The costs are expensed in accordance with ASC Topic 420 and ASC Topic 360</w:t>
      </w:r>
      <w:r>
        <w:rPr>
          <w:rFonts w:ascii="Arial" w:cs="Arial" w:eastAsia="Arial" w:hAnsi="Arial"/>
          <w:sz w:val="17"/>
          <w:szCs w:val="17"/>
          <w:i w:val="1"/>
          <w:iCs w:val="1"/>
          <w:color w:val="auto"/>
        </w:rPr>
        <w:t>, Property, Plant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Equipment </w:t>
      </w:r>
      <w:r>
        <w:rPr>
          <w:rFonts w:ascii="Arial" w:cs="Arial" w:eastAsia="Arial" w:hAnsi="Arial"/>
          <w:sz w:val="17"/>
          <w:szCs w:val="17"/>
          <w:color w:val="auto"/>
        </w:rPr>
        <w:t>and are included primarily in selling, general and administrative costs in its consolidated statement of income (loss). Additionally, costs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related to the Company's active restructuring initiatives, including program management costs, accelerated depreciation and costs to transfer product lines among facilities are included within costs of goods sold and selling, general and administrative costs in its consolidated statement of income (loss). See Note 3, </w:t>
      </w:r>
      <w:r>
        <w:rPr>
          <w:rFonts w:ascii="Arial" w:cs="Arial" w:eastAsia="Arial" w:hAnsi="Arial"/>
          <w:sz w:val="17"/>
          <w:szCs w:val="17"/>
          <w:i w:val="1"/>
          <w:iCs w:val="1"/>
          <w:color w:val="auto"/>
        </w:rPr>
        <w:t>Restructuring,</w:t>
      </w:r>
      <w:r>
        <w:rPr>
          <w:rFonts w:ascii="Arial" w:cs="Arial" w:eastAsia="Arial" w:hAnsi="Arial"/>
          <w:sz w:val="17"/>
          <w:szCs w:val="17"/>
          <w:color w:val="auto"/>
        </w:rPr>
        <w:t xml:space="preserve"> for further information and discussion of its restructuring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allocates the amounts it pays for each acquisition to the assets acquired and liabilities assumed based on their estimated fair values at the dates of acquisition, including acquired identifiable intangible assets. The Company bases the estimated fair value of identifiable intangible assets on detailed valuations that use historical information and market assumptions based upon the assumptions of a market participant. The Company allocates any excess purchase price over the fair value of the net tangible and intangible assets acquired to 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and accounts receivable. In fiscal 2019, 2018 and 2017, the Company's ten largest customers accounted for approximately 52%, 45% and 42% of net revenues, respectively. In fiscal 2019, 2018 and 2017 two Plasma customers, CSL Plasma Inc. ("CSL") and Grifols S.A. ("Grifols"), each were greater than 10% of total net revenue and in total accounted for approximately 27%, 26% and 24% of net revenues, respectively. Additionally, one Blood Center customer accounted for greater than 10% of the Japan segment’s net revenues in fiscal 2019, 2018 and 2017.</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Certain other markets and industries can expose the Company to concentrations of credit risk. For example, in the Plasma business unit, sales are concentrated with several large customers. As a result, accounts receivable extended to any one of these biopharmaceutical customers can be significant at any point in time. Also, a portion of the Company's trade accounts receivable outside the U.S. include sales to government-owned or supported healthcare systems in several countries, which are subject to payment delays. Payment is dependent upon the financial stability and creditworthiness of those countries’ national economies. The Company has not incurred significant losses on government receivables. The Company continually evaluates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(Topic 842)</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Codification ("ASC")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ASC Update No. 2016-02 is intended to increase the transparency and comparability among organizations by recognizing lease asset and lease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on the balance sheet, including those previously classified as operating leases under current U.S. GAAP and disclosing key information about leasing arrangements. ASC Update No. 2016-02 is effective for fiscal years beginning after December 15, 2018, including interim periods within those fiscal years, and is applicable to us in fiscal 2020. Earlier adoption is permitted. In July 2018, the FASB issued an update to the leasing guidance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 allow an additional transition option which would allow companies to adopt the standard as of the beginning of the year of adoption as opposed to the earliest comparative period presented. We adopted the new standard on March 31, 2019.</w:t>
      </w:r>
    </w:p>
    <w:p>
      <w:pPr>
        <w:spacing w:after="0" w:line="17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Upon transition, the Company plans to apply the package of practical expedients permitted under ASC Update No. 2016-02 transition guidance to its entire lease portfolio at March 31, 2019. As a result, the Company is not required to reassess (i) whether any expired or existing contracts are or contain leases, (ii) the classification of any expired or existing leases, and (iii) initial direct costs for any existing leases.</w:t>
      </w:r>
    </w:p>
    <w:p>
      <w:pPr>
        <w:spacing w:after="0" w:line="166"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As a result of adopting ASC Update No. 2016-02, the Company expects to recognize additional right-of-use assets and corresponding liabilities for the Company's existing lease portfolio on the consolidated balance sheets of approximately $20 million to $25 million, with no material impact to the consolidated statements of operations or consolidated statements of cash flows. Additionally, the Company is in the process of implementing a new lease administration and lease accounting system, and updating its controls and procedures for maintaining and accounting for its lease portfolio under the new standard.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Implemented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(Topic 606)</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May 2014, the FASB issued ASC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ASC Update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58"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 xml:space="preserve">In March 2016, the FASB issued ASC Update No. 2016-08, </w:t>
      </w:r>
      <w:r>
        <w:rPr>
          <w:rFonts w:ascii="Arial" w:cs="Arial" w:eastAsia="Arial" w:hAnsi="Arial"/>
          <w:sz w:val="18"/>
          <w:szCs w:val="18"/>
          <w:i w:val="1"/>
          <w:iCs w:val="1"/>
          <w:color w:val="auto"/>
        </w:rPr>
        <w:t>Revenue from Contracts with Customers (Topic 606): Principal versus Agent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Revenue Gross versus Net)</w:t>
      </w:r>
      <w:r>
        <w:rPr>
          <w:rFonts w:ascii="Arial" w:cs="Arial" w:eastAsia="Arial" w:hAnsi="Arial"/>
          <w:sz w:val="18"/>
          <w:szCs w:val="18"/>
          <w:color w:val="auto"/>
        </w:rPr>
        <w:t>. The purpose of ASC Update No. 2016-08 is to clarify the guidance on principal versus agent considerations.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indicators that help to determine whether an entity controls the specified good or service before it is transferred to the customer and to assist in determining when the entity satisfied the performance obligation and as such, whether to recognize a gross or a net amount of consideration in its consolidated statement of operations.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April 2016, the FASB issued ASC Update No. 2016-10, </w:t>
      </w:r>
      <w:r>
        <w:rPr>
          <w:rFonts w:ascii="Arial" w:cs="Arial" w:eastAsia="Arial" w:hAnsi="Arial"/>
          <w:sz w:val="18"/>
          <w:szCs w:val="18"/>
          <w:i w:val="1"/>
          <w:iCs w:val="1"/>
          <w:color w:val="auto"/>
        </w:rPr>
        <w:t>Revenue from Contracts with Customers (Topic 606): Identifying Performance Obligations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Licensing</w:t>
      </w:r>
      <w:r>
        <w:rPr>
          <w:rFonts w:ascii="Arial" w:cs="Arial" w:eastAsia="Arial" w:hAnsi="Arial"/>
          <w:sz w:val="18"/>
          <w:szCs w:val="18"/>
          <w:color w:val="auto"/>
        </w:rPr>
        <w:t>. The guidance clarifies that entities are not required to assess whether promised goods or services are performance obligations if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immaterial in the context of the contract. ASC Update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adopted ASC Update No. 2014-09 on April 1, 2018 using the modified retrospective method. Under this method, entities recognize the cumulative effect of applying the new standard at the date of initial application with no restatement of comparative periods presented. The cumulative effect of applying the new standard resulted in an increase to opening retained earnings of $1.5 million upon adoption of Topic 606 in April 2018, primarily related to deferred revenue associated with software contracts. Software revenue accounted for approximately 8.2% and 8.6% of total revenue for fiscal year ended March 30, 2019 and March 31, 2018, respectively. The new standard has been applied only to those contracts that were not completed as of March 31, 2018. The impact of adopting ASC Update No. 2014-09 was not significant to individual financial statement line items in the consolidated balance sheet and consolidated statement of income (loss) and comprehensive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October 2016, the FASB issued ASC Update No. 2016-16,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guidance requires companies to recognize the income tax effects of intercompany sales and transfers of assets, other than inventory, in the income statement as income tax expense (or benefit) in the period in which the transfer occurs. The Company adopted ASC Update No. 2016-16 during the first quarter of fiscal 2019. The adoption of ASC Update No. 2016-16 did not have a material impact on the Company's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August 2016, the FASB issued ASC Update No. 2016-15, </w:t>
      </w:r>
      <w:r>
        <w:rPr>
          <w:rFonts w:ascii="Arial" w:cs="Arial" w:eastAsia="Arial" w:hAnsi="Arial"/>
          <w:sz w:val="16"/>
          <w:szCs w:val="16"/>
          <w:i w:val="1"/>
          <w:iCs w:val="1"/>
          <w:color w:val="auto"/>
        </w:rPr>
        <w:t>Statement of Cash Flow (Topic 230)</w:t>
      </w:r>
      <w:r>
        <w:rPr>
          <w:rFonts w:ascii="Arial" w:cs="Arial" w:eastAsia="Arial" w:hAnsi="Arial"/>
          <w:sz w:val="16"/>
          <w:szCs w:val="16"/>
          <w:color w:val="auto"/>
        </w:rPr>
        <w:t>. The guidance reduces diversity in how certain cash receipts and cash payments are presented and classified in the consolidated statements of cash flows. The Company adopted ASC Update No. 2016-15 during the first quarter of fiscal 2019. The adoption of ASC Update No. 2016-15 did not have a material impact on the Company's consolidated financial statements.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May 2017, the FASB issued ASC Update No. 2017-09, </w:t>
      </w:r>
      <w:r>
        <w:rPr>
          <w:rFonts w:ascii="Arial" w:cs="Arial" w:eastAsia="Arial" w:hAnsi="Arial"/>
          <w:sz w:val="18"/>
          <w:szCs w:val="18"/>
          <w:i w:val="1"/>
          <w:iCs w:val="1"/>
          <w:color w:val="auto"/>
        </w:rPr>
        <w:t>Compensation - Stock Compensation: Scope of Modification Accounting (Topic 718)</w:t>
      </w:r>
      <w:r>
        <w:rPr>
          <w:rFonts w:ascii="Arial" w:cs="Arial" w:eastAsia="Arial" w:hAnsi="Arial"/>
          <w:sz w:val="18"/>
          <w:szCs w:val="18"/>
          <w:color w:val="auto"/>
        </w:rPr>
        <w:t>. The guidance clarifies when to account for a change to the terms or conditions of a share-based payment award as a modification. The Company adopted ASC Update No. 2017-09 during the first quarter of fiscal 2019. The adoption of ASC Update No. 2017-09 did not have a material impact on the Company's consolidated financial statements.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August 2017, the FASB issued ASC Update No. 2017-12, </w:t>
      </w:r>
      <w:r>
        <w:rPr>
          <w:rFonts w:ascii="Arial" w:cs="Arial" w:eastAsia="Arial" w:hAnsi="Arial"/>
          <w:sz w:val="18"/>
          <w:szCs w:val="18"/>
          <w:i w:val="1"/>
          <w:iCs w:val="1"/>
          <w:color w:val="auto"/>
        </w:rPr>
        <w:t>Derivatives and Hedging: Targeted Improvements to Accounting for Hedging Activities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815)</w:t>
      </w:r>
      <w:r>
        <w:rPr>
          <w:rFonts w:ascii="Arial" w:cs="Arial" w:eastAsia="Arial" w:hAnsi="Arial"/>
          <w:sz w:val="18"/>
          <w:szCs w:val="18"/>
          <w:color w:val="auto"/>
        </w:rPr>
        <w:t>. The new guidance makes more financial and non-financial hedging strategies eligible for hedge accounting, amends the presentation and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hedging activities and changes how companies assess hedge effectiveness. The Company early adopted ASC Update No. 2017-12 during the second quarter of fiscal 2019. The adoption of ASC Update No. 2017-12 did not have an impact on the Company's consolidated financial statements or the classification of its designated and non-designated hedge contracts.</w:t>
      </w:r>
    </w:p>
    <w:p>
      <w:pPr>
        <w:spacing w:after="0" w:line="18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 xml:space="preserve">In August 2018, the Securities and Exchange Commission adopted amendments to certain disclosure requirements in Securities Act Release No. 33-10532, </w:t>
      </w:r>
      <w:r>
        <w:rPr>
          <w:rFonts w:ascii="Arial" w:cs="Arial" w:eastAsia="Arial" w:hAnsi="Arial"/>
          <w:sz w:val="17"/>
          <w:szCs w:val="17"/>
          <w:i w:val="1"/>
          <w:iCs w:val="1"/>
          <w:color w:val="auto"/>
        </w:rPr>
        <w:t>Disclosure Update and Simplification</w:t>
      </w:r>
      <w:r>
        <w:rPr>
          <w:rFonts w:ascii="Arial" w:cs="Arial" w:eastAsia="Arial" w:hAnsi="Arial"/>
          <w:sz w:val="17"/>
          <w:szCs w:val="17"/>
          <w:color w:val="auto"/>
        </w:rPr>
        <w:t>. This amendment require companies to disclose a reconciliation of changes in stockholders’ equity to prior periods. A</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showing the activity for the year to date period and comparable prior year detail are shown in the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fiscal 2018, the Company launched a Complexity Reduction Initiative (the "2018 Program"), a company-wide restructuring program designed to improve operational performance and reduce cost, freeing up resources to invest in accelerated growth. This program includes a reduction of headcount and operating costs to enable a more streamlined organizational structure. The Company expects to incur aggregate charges between $50 million and $60 million associated with these actions, of which it expects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During fiscal 2019 and 2018, the Company incurred $13.7 million and $36.6 million of restructuring and turnaround costs under this program, respectively. Total cumulative charges under this program are $50.3 million as of March 30, 2019.</w:t>
      </w:r>
    </w:p>
    <w:p>
      <w:pPr>
        <w:spacing w:after="0" w:line="17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During fiscal 2017, the Company launched a restructuring program (the "2017 Program") designed to reposition its organization and improve its cost structure. The Company did not incur any charges under this program during fiscal 2019. During fiscal 2018 and 2017, the Company incurred $7.2 million and $28.7 million of restructuring and turnaround charges under this program, respectively. The 2017 Program is substantially complete.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6" w:right="25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for restructuring reserves related to the 2018 Program and the 2017 and Prior Programs for the fiscal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30, 2019, March 31, 2018 and April 1, 2017, substantially all of which relates to employee severance and other employee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2018 Program</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2017 and Prior</w:t>
            </w:r>
          </w:p>
        </w:tc>
        <w:tc>
          <w:tcPr>
            <w:tcW w:w="360" w:type="dxa"/>
            <w:vAlign w:val="bottom"/>
          </w:tcPr>
          <w:p>
            <w:pPr>
              <w:spacing w:after="0"/>
              <w:rPr>
                <w:sz w:val="14"/>
                <w:szCs w:val="14"/>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2,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21,833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21,833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29,694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28,535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substantial majority of restructuring costs during fiscal 2019, 2018 and 2017 have been included as a component of selling, general and administrative expenses in the accompanying consolidated statements of income (loss). As of March 30, 2019, the Company had a restructuring liability of $7.5 million, of which, approximately $6.7 million is payable within the next twelve months.</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addition to the restructuring expenses included in the table above, the Company also incurred costs of $13.2 million, $13.6 million and $12.5 million in fiscal 2019, 2018 and 2017, respectively, that do not constitute as restructuring under ASC 420, </w:t>
      </w:r>
      <w:r>
        <w:rPr>
          <w:rFonts w:ascii="Arial" w:cs="Arial" w:eastAsia="Arial" w:hAnsi="Arial"/>
          <w:sz w:val="16"/>
          <w:szCs w:val="16"/>
          <w:i w:val="1"/>
          <w:iCs w:val="1"/>
          <w:color w:val="auto"/>
        </w:rPr>
        <w:t>Exit and Disposal Cost Obligations,</w:t>
      </w:r>
      <w:r>
        <w:rPr>
          <w:rFonts w:ascii="Arial" w:cs="Arial" w:eastAsia="Arial" w:hAnsi="Arial"/>
          <w:sz w:val="16"/>
          <w:szCs w:val="16"/>
          <w:color w:val="auto"/>
        </w:rPr>
        <w:t xml:space="preserve"> which the Company refers to as turnaround costs. These costs, substantially all of which have been included as a component of selling, general and administrative expenses in the accompanying consolidated statements of income (loss), consist primarily of expenditures directly related to the restructuring actions and include program management costs associated with the implementation of outsourcing initiatives and recent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EMEA</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730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1,496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4,272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27,954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16,376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30,529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21,833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6720" w:type="dxa"/>
            <w:vAlign w:val="bottom"/>
          </w:tcPr>
          <w:p>
            <w:pPr>
              <w:ind w:left="40"/>
              <w:spacing w:after="0"/>
              <w:rPr>
                <w:sz w:val="20"/>
                <w:szCs w:val="20"/>
                <w:color w:val="auto"/>
              </w:rPr>
            </w:pPr>
            <w:r>
              <w:rPr>
                <w:rFonts w:ascii="Arial" w:cs="Arial" w:eastAsia="Arial" w:hAnsi="Arial"/>
                <w:sz w:val="14"/>
                <w:szCs w:val="14"/>
                <w:b w:val="1"/>
                <w:bCs w:val="1"/>
                <w:color w:val="auto"/>
              </w:rPr>
              <w:t>Turnaround costs</w:t>
            </w: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EMEA</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12,984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12,727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11,415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13,228</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13,596</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67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turnaround</w:t>
            </w: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13,623</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44,125</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34,316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4. INCOME TAXES</w:t>
            </w: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20" w:type="dxa"/>
            <w:vAlign w:val="bottom"/>
          </w:tcPr>
          <w:p>
            <w:pPr>
              <w:spacing w:after="0"/>
              <w:rPr>
                <w:sz w:val="20"/>
                <w:szCs w:val="20"/>
                <w:color w:val="auto"/>
              </w:rPr>
            </w:pPr>
            <w:r>
              <w:rPr>
                <w:rFonts w:ascii="Arial" w:cs="Arial" w:eastAsia="Arial" w:hAnsi="Arial"/>
                <w:sz w:val="18"/>
                <w:szCs w:val="18"/>
                <w:color w:val="auto"/>
              </w:rPr>
              <w:t>Domestic and foreign income before provision for income tax is as follows: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(44,724)</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46,968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73,633</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59,632</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(27,476)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The income tax provision from continuing operations contains the following components:</w:t>
            </w: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(4,165)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9,927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8,937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19,888</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13,351</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(5,828)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18,614</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14,060</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(1,208)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6" w:right="239" w:bottom="1440" w:gutter="0" w:footer="0" w:header="0"/>
          <w:type w:val="continuous"/>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During the third quarter of fiscal 2018, the Tax Cuts and Jobs Act (the "Act") was enacted in the United States. The Act reduced the U.S. federal corporate tax rate from 35% to 21%, required companies to pay a one-time transition tax on earnings of certain foreign subsidiaries that were previously tax deferred and created new taxes on certain foreign sourced earnings. In addition, the Securities and Exchange Commission issued guidance under Staff Accounting Bulletin No. 118, </w:t>
      </w:r>
      <w:r>
        <w:rPr>
          <w:rFonts w:ascii="Arial" w:cs="Arial" w:eastAsia="Arial" w:hAnsi="Arial"/>
          <w:sz w:val="18"/>
          <w:szCs w:val="18"/>
          <w:i w:val="1"/>
          <w:iCs w:val="1"/>
          <w:color w:val="auto"/>
        </w:rPr>
        <w:t>Income Tax Accounting Implications of the Tax Cuts and Jobs Act</w:t>
      </w:r>
      <w:r>
        <w:rPr>
          <w:rFonts w:ascii="Arial" w:cs="Arial" w:eastAsia="Arial" w:hAnsi="Arial"/>
          <w:sz w:val="18"/>
          <w:szCs w:val="18"/>
          <w:color w:val="auto"/>
        </w:rPr>
        <w:t xml:space="preserve"> that directed taxpayers to consider the impact of the U.S. legislation as “provisional” when they do not have the necessary information available, prepared or analyzed (including computations) in reasonable detail to complete their accounting for the change in tax law.</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fiscal 2018, the Company recognized a provisional amount of $2.0 million as a reasonable estimate of the impact of the provisions of the Act, which was included as a component of income tax expense in the consolidated statements of income (loss). During fiscal 2019, the Company completed its accounting for the tax effects of the enactment of the Act. The Company recognized a $0.4 million adjustment to the provisional tax expense recorded in fiscal 2018.</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incorporated the other impacts of the Act that became effective in fiscal 2019 in the calculation of the tax provision and effective tax rate, including the provisions related to global intangible low taxed income (“GILTI”), foreign derived intangible income (“FDII”), base erosion anti abuse Tax (“BEAT”), as well as other provisions which limit tax deductibility of expenses. For fiscal 2019, the GILTI provisions have the most significant impact to the Company. Under the new law, U.S. taxes are imposed on foreign income in excess of a deemed return on tangible assets of its foreign subsidiaries. The ability to benefit a deduction and foreign tax credits against a portion of the GILTI income may be limited under the GILTI rules as a result of the utilization of net operating losses, foreign sourced income, and other potential limitations within the foreign tax credit calculation.</w:t>
      </w:r>
    </w:p>
    <w:p>
      <w:pPr>
        <w:spacing w:after="0" w:line="17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Interpretive guidance on the accounting for GILTI states that an entity can make an accounting policy election to either recognize deferred taxes for temporary basis differences expected to reverse as GILTI in future years or provide for the tax expense related to GILTI in the year the tax is incurred as a period expense only. For the year ended March 30, 2019, the Company made the accounting policy election to recognize GILTI as a period expense.</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Company's subsidiary in Puerto Rico has been granted a fifteen-year tax grant that expires in calendar 2027. Its qualification for the tax grant is dependent on the continuation of its manufacturing activities in Puerto Rico. The Company benefits from a reduced tax rate on its earnings in Puerto Rico under the tax grant.</w:t>
      </w: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subsidiary in Malaysia has been granted a full income tax exemption to manufacture whole blood and apheresis devices that could be in effect for up to ten years, provided certain conditions are satisfied. The income tax exemption was in effect beginning June 1,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Tax affected, significant temporary differences comprising the net deferred tax liability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1,345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3,183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reserves and other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10,810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Tax credit carry-forward,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3,479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(11,090)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(after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goodwill and intangibles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(11,942)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Unremitted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deferred tax liabilities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deferred tax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(2,565)</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valuation allowance increased by $0.2 million during fiscal 2019, primarily as a result of net operating losses and tax credits generated in jurisdictions in which the Company has concluded that its deferred tax assets are not more-likely-than-not realizable, offset by the release of the valuation allowance against deferred tax assets in certain foreign subsidiaries. The Company has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It has also considered the ability to implement certain strategies that would, if necessary, be implemented to accelerate taxable income and use expiring deferred tax assets. The Company believes it is able to support the deferred tax assets recognized as of the end of the year based on all of the available evidence. The worldwide net deferred tax liability as of March 30, 2019 includes deferred tax liabilities related to amortizable tax basis in goodwill, which are indefinite lived and can only be used as a source of income to benefit other indefinite lived assets.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March 30, 2019, the Company maintains a valuation allowance against certain U.S. state deferred tax assets that are not more-likely-than-not realizable and maintains a full valuation allowance against the net deferred tax assets of certain foreign subsidiaries.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30, 2019, the Company has U.S. federal net operating losses of approximately $5.8 million that will begin to expire in fiscal 2036. The Company has U.S. state net operating losses of $21.7 million of which $21.3 million will begin to expire in fiscal 2020 and $0.4 million can be carried forward indefinitely. The Company has federal and state tax credits of $0.5 million and $4.7 million, respectively, which will begin to expire in fiscal 2039 and fiscal 2025, respectively.</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net operating loss and tax credit carry-forwards may become subject to an annual limitation in the event of certain cumulative changes in the ownership interest of significant shareholders over a three-year period in excess of 50 percent as defined under Section 382 and 383 of the U.S. Internal Revenue Code of 1986, respectively, as well as similar state provisions. The amount of the annual limitation is determined based on the value of the Company immediately prior to the ownership change. The Company conducted a Section 382 study covering the period April 2, 2011 through December 31, 2017. The study concluded that there were no limitations on the Company’s net operating losses and tax credit carryforwards as of December 31, 2017. The Company does not believe it has had an ownership change through March 30, 2019. Subsequent ownership changes may further affect the limitation in future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30, 2019, the Company has foreign net operating losses of approximately $12.6 million that are available to reduce future income of which $3.7 million will begin to expire in fiscal 2034 and $8.9 million can be carried forward indefinitely.</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of March 30, 2019, substantially all of the unremitted earnings of the Company have been taxed in the U.S. as a result of tax reform. The Company has provided $0.8 million of net foreign withholding taxes on approximately $154.0 million of unremitted earnings that are not indefinitely reinvested. The Company has not provided U.S. deferred income taxes or foreign withholding taxes on unremitted earnings of foreign subsidiaries of approximately $287.9 million as such amounts are considered to be indefinitely reinvested in the business or could be remitted without a future tax cost. The accumulated earnings in the foreign subsidiaries are primarily utilized to fund working capital requirements as its subsidiaries continue to expand their operations, to service existing debt obligations and to fund future foreign acquisitions. The Company does not believe it is practicable to estimate the amount of income taxes payable on the earnings that are indefinitely reinvested in foreign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provision from continuing operations differs from tax provision computed at the U.S. federal statutory income tax rate due to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6"/>
                <w:szCs w:val="16"/>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Difference between U.S. and foreign tax</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Change in uncertain tax positions</w:t>
            </w: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intangible low taxed income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Unremitted earnings</w:t>
            </w: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statutory rate changes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Non-deductible goodwill impairment</w:t>
            </w:r>
          </w:p>
        </w:tc>
        <w:tc>
          <w:tcPr>
            <w:tcW w:w="320" w:type="dxa"/>
            <w:vAlign w:val="bottom"/>
          </w:tcPr>
          <w:p>
            <w:pPr>
              <w:spacing w:after="0"/>
              <w:rPr>
                <w:sz w:val="21"/>
                <w:szCs w:val="21"/>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executive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Non-deductible other</w:t>
            </w: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benefits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Research credits</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transition tax from tax reform</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Tax amortization of goodwill</w:t>
            </w:r>
          </w:p>
        </w:tc>
        <w:tc>
          <w:tcPr>
            <w:tcW w:w="320" w:type="dxa"/>
            <w:vAlign w:val="bottom"/>
          </w:tcPr>
          <w:p>
            <w:pPr>
              <w:spacing w:after="0"/>
              <w:rPr>
                <w:sz w:val="21"/>
                <w:szCs w:val="21"/>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38.4 %</w:t>
            </w: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4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provision (benefit)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18,614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4.4 %</w:t>
            </w: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 recorded an income tax provision of $18.6 million, representing an effective tax rate of 25.3%. The effective tax rate is higher than the U.S. statutory rate of 21.0% primarily as a result of the impact of GILTI, non-deductible executive compensation, and foreign losses not benefited, including an asset impairment expense of $21.2 million recorded in pretax income for which no tax benefit was recognized due to a valuation allowance maintained against its deferred tax assets in the impacted jurisdiction. Refer to Note 8, </w:t>
      </w:r>
      <w:r>
        <w:rPr>
          <w:rFonts w:ascii="Arial" w:cs="Arial" w:eastAsia="Arial" w:hAnsi="Arial"/>
          <w:sz w:val="18"/>
          <w:szCs w:val="18"/>
          <w:i w:val="1"/>
          <w:iCs w:val="1"/>
          <w:color w:val="auto"/>
        </w:rPr>
        <w:t>Property, Plant &amp; Equipment,</w:t>
      </w:r>
      <w:r>
        <w:rPr>
          <w:rFonts w:ascii="Arial" w:cs="Arial" w:eastAsia="Arial" w:hAnsi="Arial"/>
          <w:sz w:val="18"/>
          <w:szCs w:val="18"/>
          <w:color w:val="auto"/>
        </w:rPr>
        <w:t xml:space="preserve"> for additional details. The effective tax rate has been favorably impacted by excess stock compensation benefits, research tax credits generated, jurisdictional mix of earnings, and the release of valuation allowance against its net deferred tax assets in certain foreign jurisdictions. The Company has recorded $0.5 million tax expense related to unremitted foreign earnings that are not considered permanently reinvested.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March 30, 2019, the Company had $4.7 million of unrecognized tax benefits, of which $3.9 million would impact the effective tax rate, if recognized. As of March 31, 2018, the Company had $4.5 million of unrecognized tax benefits, of which $3.8 million would impact the effective tax rate, if recognized. At April 1, 2017, the Company had $3.4 million of unrecognized tax benefits, of which $1.5 million would impact the effective tax rate, if recognized.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fiscal year ended March 30, 2019 the Company's unrecognized tax benefits were increased by $0.2 million, primarily relating to uncertain tax positions established against various federal and state tax credits.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its gross unrecognized tax benefits for the fiscal years ended March 30, 2019, March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1,</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for tax positions of current year</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Reductions of tax positions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of statute of limitations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4,657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4,450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3,370</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30, 2019, the Company anticipates that the liability for unrecognized tax benefits for uncertain tax positions could change by up to $1.3 million in the next twelve months, as a result of closure of various statutes of limitations and potential settlements with tax authorities.</w:t>
      </w:r>
    </w:p>
    <w:p>
      <w:pPr>
        <w:spacing w:after="0" w:line="1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Company's historical practice has been and continues to be to recognize interest and penalties related to federal, state and foreign income tax matters in income tax expense. Approximately $0.2 million of gross interest and penalties were accrued at both March 30, 2019 and March 31, 2018 and are not included in the amounts above. There was a nominal benefit included in tax expense for accrued interest and penalties during fiscal 2019, 2018 and 2017.</w:t>
      </w:r>
    </w:p>
    <w:p>
      <w:pPr>
        <w:spacing w:after="0" w:line="14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conducts business globally and, as a result, files federal, state and foreign income tax returns in multiple jurisdictions. In the normal course of business, it is subject to examination by taxing authorities throughout the world. With a few exceptions, the Company is no longer subject to U.S. federal, state, or local income tax examinations for years before fiscal 2016 and foreign income tax examinations for years before fiscal 2014. To the extent that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55,019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45,572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51,524</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Basic income (loss) per share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0.86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55,019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45,572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51,524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Diluted income (loss) per share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For fiscal 2019 and 2018, weighted average shares outstanding, assuming dilution, excludes the impact of 0.2 million and 0.4 million anti-dilutive shares, respectively. For fiscal 2017, the Company recognized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loss; therefore it excluded the impact of outstanding stock awards from the diluted loss per share calculation as their inclusion would have an anti-dilutive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May 2019, the Company announced that its Board of Directors had authorized the repurchase of up to $500 million of Haemonetics common shares over the next two years. This new share repurchase program will help to offset the dilutive impact of recent and future employee equity grants. The timing and amounts of activity under the repurchase program will be at management’s discretion with the intent of beginning activity under the program during fiscal 2020.</w:t>
      </w:r>
    </w:p>
    <w:p>
      <w:pPr>
        <w:spacing w:after="0" w:line="18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6, 2018, the Company announced that its Board of Directors authorized the repurchase of up to $260 million of its outstanding common stock from time to time, based on market conditions, through March 30, 2019. In May 2018, the Company completed a $100.0 million repurchase of its common stock pursuant to an accelerated share repurchase agreement ("ASR") entered into with Citibank N.A (“Citibank”) in February 2018. The total number of shares repurchased under the ASR was approximately 1.4 million at an average price per share upon final settlement of $72.51. In August 2018, the Company completed an additional $80.0 million repurchase of its common stock pursuant to an ASR entered into with Citibank in June 2018. The total number of shares repurchased under the ASR was approximately 0.9 million at an average price per share upon final settlement of $93.83. In December 2018, the Company repurchased the remaining $80.0 million of its common stock under the Company's share repurchase authorization pursuant to an ASR entered into with Citibank in November 2018. The total number of shares repurchased under the ASR was approximately 0.8 million at an average price per share upon final settlement of $103.74. As of March 30, 2019, the Company had utilized the full $260 million share repurchase authorization, which resulted in approximately 3.0 million total shares repurchased at an average price of $86.58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The Company's revenue recognition policy is to recognize revenues from product sales, software and services in accordance with ASC Topic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The Company adopted Topic 606 as of April 1, 2018 using the modified retrospective method. Under this method,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the cumulative effect of applying the new standard at the date of initial application with no restatement of comparative periods presented. The cumulative effect of applying the new standard resulted in an increase to opening retained earnings of $1.5 million upon adoption of Topic 606 on April 1, 2018, primarily related to deferred revenue associated with software revenue. The new standard has been applied only to those contracts that were not completed as of March 31, 2018.</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impact of adopting Topic 606 was not significant to individual financial statement line items in the consolidated balance sheet as of March 30, 2019 or in the consolidated statements of income (loss) and comprehensive income (loss) for fiscal 2019.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30, 2019, the Company had $23.9 million of transaction price allocated to remaining performance obligations related to executed contracts with an original duration of one year or more. The Company expects to recognize approximately 56% of this amount as revenue within the next twelve months and the remaining balance thereafter.</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March 30, 2019 and April 1, 2018, the Company had contract assets of $5.6 million and $2.7 million, respectively. The change is primarily due to the delay in billings compared to the revenue recognized. Contract assets are classified as other current assets and other long-term assets on the consolidated balance sheet.</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of March 30, 2019 and April 1, 2018, the Company had contract liabilities of $20.3 million and $16.6 million, respectively. During fiscal 2019, the Company recognized $15.0 million of revenue that was included in the above April 1, 2018 contract liability balance. Contract liabilities are classified as other current liabilities and other long-term liabilities on the consolidated balance sheet.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6" w:right="2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with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80" w:type="dxa"/>
            <w:vAlign w:val="bottom"/>
          </w:tcPr>
          <w:p>
            <w:pPr>
              <w:spacing w:after="0"/>
              <w:rPr>
                <w:sz w:val="14"/>
                <w:szCs w:val="14"/>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52,997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12,610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10,774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112,307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97,028</w:t>
            </w: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194,337</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160,799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8890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5"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The Company corrected the classification of inventory as of March 31, 2018. This correction did not change total inventories and did not have a financial statement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-98425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30, 2019</w:t>
            </w:r>
          </w:p>
        </w:tc>
        <w:tc>
          <w:tcPr>
            <w:tcW w:w="200" w:type="dxa"/>
            <w:vAlign w:val="bottom"/>
          </w:tcPr>
          <w:p>
            <w:pPr>
              <w:spacing w:after="0"/>
              <w:rPr>
                <w:sz w:val="16"/>
                <w:szCs w:val="16"/>
                <w:color w:val="auto"/>
              </w:rPr>
            </w:pPr>
          </w:p>
        </w:tc>
        <w:tc>
          <w:tcPr>
            <w:tcW w:w="128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8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Land</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 and building improvements</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118,821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114,646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291,537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132,783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134,412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372,984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325,401</w:t>
            </w:r>
          </w:p>
        </w:tc>
      </w:tr>
      <w:tr>
        <w:trPr>
          <w:trHeight w:val="237"/>
        </w:trPr>
        <w:tc>
          <w:tcPr>
            <w:tcW w:w="83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933,222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873,446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(541,290)</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343,979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332,156</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Depreciation expense was $76.8 million, $57.7 million and $66.5 million in fiscal 2019, 2018 and 2017, respectively. There were no asset impairments included in depreciation expense during fiscal 2019. Fiscal 2018 and 2017 include $0.3 million and $10.0 million, respectively, of additional depreciation expense due to asset impairments.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part of the acquisition of the whole blood business from Pall Corporation (“Pall”) in fiscal 2012, Pall agreed to manufacture and install in one of the Company's facilities a filter media manufacturing line (the “HDC line”) for which the Company agreed to pay Pall approximately $15.0 million (plus pre-approved overages). Pall also agreed to supply media to the Company for use in leukoreduction filters until such time as the Company accepted the HDC line.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 May 2018, the Company entered into a long-term supply agreement with Pall under which Pall will continue to supply media to the Company for use</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leukoreduction filters. As a condition of the supply agreement, the Company agreed to accept the HDC line and to make a final payment of $9.0 million to Pall for the HDC line.</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a result of the decision to continue to source media for leukoreduction filters from Pall rather than producing them internally, the Company does not expect to utilize the HDC line for future production and expects that the asset’s future cash flows will not be sufficient to recover its carrying value of $19.8 million. Accordingly, during the first quarter of fiscal 2019 the Company recorded impairment charges of $19.8 million for the HDC line.</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fiscal 2019, the Company impaired an additional $1.4 million of property, plant and equipment as a result of the Company's review of non-core and underperforming assets, resulting in total impairment charges of $21.2 million during fiscal 2019. These impairments were included within cost of goods sold on the consolidated statements of income (loss) and impacted the All Other reporting segment. During fiscal 2018 and 2017, the Company impaired $2.2 million and $13.3 million of property, plant and equipment, respectively.</w:t>
      </w:r>
    </w:p>
    <w:p>
      <w:pPr>
        <w:spacing w:after="0" w:line="187" w:lineRule="exact"/>
        <w:rPr>
          <w:sz w:val="20"/>
          <w:szCs w:val="20"/>
          <w:color w:val="auto"/>
        </w:rPr>
      </w:pPr>
    </w:p>
    <w:p>
      <w:pPr>
        <w:ind w:right="240"/>
        <w:spacing w:after="0" w:line="216" w:lineRule="auto"/>
        <w:rPr>
          <w:sz w:val="20"/>
          <w:szCs w:val="20"/>
          <w:color w:val="auto"/>
        </w:rPr>
      </w:pPr>
      <w:r>
        <w:rPr>
          <w:rFonts w:ascii="Arial" w:cs="Arial" w:eastAsia="Arial" w:hAnsi="Arial"/>
          <w:sz w:val="18"/>
          <w:szCs w:val="18"/>
          <w:color w:val="auto"/>
        </w:rPr>
        <w:t>Additionally, the Company has changed the estimated useful lives of PCS</w:t>
      </w:r>
      <w:r>
        <w:rPr>
          <w:rFonts w:ascii="Arial" w:cs="Arial" w:eastAsia="Arial" w:hAnsi="Arial"/>
          <w:sz w:val="21"/>
          <w:szCs w:val="21"/>
          <w:color w:val="auto"/>
          <w:vertAlign w:val="superscript"/>
        </w:rPr>
        <w:t>®</w:t>
      </w:r>
      <w:r>
        <w:rPr>
          <w:rFonts w:ascii="Arial" w:cs="Arial" w:eastAsia="Arial" w:hAnsi="Arial"/>
          <w:sz w:val="18"/>
          <w:szCs w:val="18"/>
          <w:color w:val="auto"/>
        </w:rPr>
        <w:t>2 devices, included within Haemonetics Equipment, as these will be replaced by the NexSys PCS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which the Company began placing during the second quarter of fiscal 2019. During fiscal 2019, the Company incurred $18.0 million of accelerated depreciation expense related to this change in estimate.</w:t>
      </w:r>
    </w:p>
    <w:p>
      <w:pPr>
        <w:sectPr>
          <w:pgSz w:w="11900" w:h="16838" w:orient="portrait"/>
          <w:cols w:equalWidth="0" w:num="1">
            <w:col w:w="11420"/>
          </w:cols>
          <w:pgMar w:left="240" w:top="126"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6" w:right="239" w:bottom="1440" w:gutter="0" w:footer="0" w:header="0"/>
          <w:type w:val="continuous"/>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operating segment for fiscal 2019 and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Japan</w:t>
            </w:r>
          </w:p>
        </w:tc>
        <w:tc>
          <w:tcPr>
            <w:tcW w:w="30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EMEA</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North America</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Plasma</w:t>
            </w: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ind w:left="40"/>
              <w:spacing w:after="0"/>
              <w:rPr>
                <w:sz w:val="20"/>
                <w:szCs w:val="20"/>
                <w:color w:val="auto"/>
              </w:rPr>
            </w:pPr>
            <w:r>
              <w:rPr>
                <w:rFonts w:ascii="Arial" w:cs="Arial" w:eastAsia="Arial" w:hAnsi="Arial"/>
                <w:sz w:val="18"/>
                <w:szCs w:val="18"/>
                <w:color w:val="auto"/>
              </w:rPr>
              <w:t>Carrying amount as of April 1, 2017</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139,003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210,841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32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8"/>
                <w:szCs w:val="18"/>
                <w:color w:val="auto"/>
              </w:rPr>
              <w:t>Carrying amount as of March 31,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139,261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211,395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Transfer of goodwill between segments</w:t>
            </w: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Carrying amount as of March 30, 2019</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24,874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19,454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26,415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140,076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210,819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results of the Company's goodwill impairment test performed in the fourth quarter of fiscal 2019 and 2018 indicated that the estimated fair value of all reporting units exceeded their respective carrying values. There were no reporting units at risk of impairment as of the fiscal 2019 and 2018 annual test dates. During fiscal 2017, the Company recorded goodwill impairment charges of $57.0 million. During fiscal 2019, management reorganized its operating segments such that certain immaterial components of the EMEA operating segment became components of the All Other operating segment. As a result, the Company transferred $1.1 million of goodwill to the All Other operating segment, which represented the portion of goodwill associated with these components.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of intangible assets and the related accumulated amortization as of March 30, 2019 and March 31, 2018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4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41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30, 2019</w:t>
            </w:r>
          </w:p>
        </w:tc>
        <w:tc>
          <w:tcPr>
            <w:tcW w:w="2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Amortizable:</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9,635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66,631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34,737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31,894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30,050</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194,793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142,747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52,046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97"/>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w:t>
            </w:r>
          </w:p>
        </w:tc>
        <w:tc>
          <w:tcPr>
            <w:tcW w:w="23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379,549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263,479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116,070</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Non-amortizable:</w:t>
            </w:r>
          </w:p>
        </w:tc>
        <w:tc>
          <w:tcPr>
            <w:tcW w:w="2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In-process software development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patents</w:t>
            </w:r>
          </w:p>
        </w:tc>
        <w:tc>
          <w:tcPr>
            <w:tcW w:w="2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11,623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20" w:type="dxa"/>
            <w:vAlign w:val="bottom"/>
            <w:vMerge w:val="restart"/>
          </w:tcPr>
          <w:p>
            <w:pPr>
              <w:jc w:val="right"/>
              <w:ind w:right="850"/>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320" w:type="dxa"/>
            <w:vAlign w:val="bottom"/>
          </w:tcPr>
          <w:p>
            <w:pPr>
              <w:jc w:val="right"/>
              <w:ind w:right="41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2018</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Amortizable: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9,301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54,095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27,117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26,978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80,622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197,266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127,338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69,928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385,799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249,278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136,521</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Non-amortizable:</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In-process software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17,717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patents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20,068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Intangible assets include the value assigned to license rights and other developed technology, patents, customer contracts and relationships and trade names. The estimated useful lives for all of these intangible assets are 5 to 18 years. The changes to the net carrying value of the Company's intangible assets from March 31, 2018 to March 30, 2019 reflect the impact of amortization expense, partially offset by the investment in capitalized software.</w:t>
      </w:r>
    </w:p>
    <w:p>
      <w:pPr>
        <w:spacing w:after="0" w:line="147"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Aggregate amortization expense for amortized intangible assets for fiscal 2019, 2018, and 2017 was $32.6 million, $31.9 million and $37.2 million, respectively. During fiscal 2017, the Company impaired $4.8 million of intangible assets. Amortization expense for fiscal 2017 included $4.0 million of amortization expense resulting from these intangible asset impairments. There were no intangible asset impairments during fiscal 2019 and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Future annual amortization expense on intangible assets is estimated to be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28,226</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Fiscal 2021</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26,593</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12,013</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Fiscal 2023</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9,375</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9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4,991</w:t>
            </w:r>
          </w:p>
        </w:tc>
      </w:tr>
      <w:tr>
        <w:trPr>
          <w:trHeight w:val="27"/>
        </w:trPr>
        <w:tc>
          <w:tcPr>
            <w:tcW w:w="9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CAPITALIZATION OF SOFTWARE DEVELOPMENT COSTS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cost of software that is developed or obtained for internal use is accounted for pursuant to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Pursuant to ASC Topic 350, the Company capitalizes costs incurred during the application development stage of software developed for internal use and expense costs incurred during the preliminary project and the post-implementation operation stages of development. The costs capitalized for each project are included in intangible assets in the consolidated financial statements.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the Company applies the provisions of ASC Topic 985-20, </w:t>
      </w:r>
      <w:r>
        <w:rPr>
          <w:rFonts w:ascii="Arial" w:cs="Arial" w:eastAsia="Arial" w:hAnsi="Arial"/>
          <w:sz w:val="17"/>
          <w:szCs w:val="17"/>
          <w:i w:val="1"/>
          <w:iCs w:val="1"/>
          <w:color w:val="auto"/>
        </w:rPr>
        <w:t>Software - Costs of Software to be Sold, Leased or Marketed</w:t>
      </w:r>
      <w:r>
        <w:rPr>
          <w:rFonts w:ascii="Arial" w:cs="Arial" w:eastAsia="Arial" w:hAnsi="Arial"/>
          <w:sz w:val="17"/>
          <w:szCs w:val="17"/>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capitalized $3.5 million and $9.3 million in software development costs for ongoing initiatives during fiscal 2019 and 2018, respectively. At March 30, 2019 and March 31, 2018, the Company had a total of $75.4 million and $71.8 million of software costs capitalized, of which $8.7 million and $17.7 million are related to in process software development initiatives, respectively, and the remaining balance represents in-service assets that are being amortized over their useful lives.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connection with these development activities, the Company capitalized interest of $0.3 million in both fiscal 2019 and 2018. The Company amortizes capitalized costs when the products are released for sale. During fiscal 2019 and 2018, $12.5 million and $4.4 million of capitalized costs were placed into service, respectively. Amortization of capitalized software development cost expense was $7.6 million, $6.8 million and $9.7 million for fiscal 2019, 2018 and 2017, respectively and has been included as a component of cost of goods sold within the accompanying consolidated statements of income (loss). There were no impairment charges recorded during fiscal 2019 and 2018. Amortization expense in fiscal 2017 includes $4.0 million of impairment charges. The costs capitalized for each project are included in intangible assets in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30, 2019</w:t>
            </w:r>
          </w:p>
        </w:tc>
        <w:tc>
          <w:tcPr>
            <w:tcW w:w="320" w:type="dxa"/>
            <w:vAlign w:val="bottom"/>
          </w:tcPr>
          <w:p>
            <w:pPr>
              <w:spacing w:after="0"/>
              <w:rPr>
                <w:sz w:val="16"/>
                <w:szCs w:val="16"/>
                <w:color w:val="auto"/>
              </w:rPr>
            </w:pPr>
          </w:p>
        </w:tc>
        <w:tc>
          <w:tcPr>
            <w:tcW w:w="162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 of financing fees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334,859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253,305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borrowings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15,261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377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(194,259)</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322,454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59,423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A portion of the net proceeds of $347.8 million was used to pay down the $253.7 million remaining outstanding balance on the 2012 credit agreement, as amended in fiscal 2014. The remainder of the proceeds were used to support the launch of the NexSys PCS device and for general corporate purposes. At March 30, 2019, $336.9 million was outstanding under the Term Loan and $15.0 million was outstanding on the Revolving Credit Facility, both with an effective interest rate of 3.8%. The Company also had $25.1 million of uncommitted operating lines of credit to fund its global operations under which there were no outstanding borrowings as of March 30, 2019.</w:t>
      </w:r>
    </w:p>
    <w:p>
      <w:pPr>
        <w:spacing w:after="0" w:line="19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Credit Facilities, the Company is required to maintain a Consolidated Leverage Ratio not to exceed 3.5:1.0 and a Consolidated Interest Coverage Ratio not to be less than 4.0:1.0 during periods when the Credit Facilities are outstanding. In addition, the Company is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Leverage Ratio is calculated as Consolidated Total Debt divided by Consolidated EBITDA. Consolidated EBITDA includes EBITDA adjusted by non-recurring and unusual transactions specifically as defined in the Credit Facilities.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that include certain restrictions with respect to subsequent indebtedness, liens, loans and investments (including acquisitions), financial reporting obligations, mergers, consolidations, dissolutions or liquidation, asset sales, affiliate transactions, change of its business, capital expenditures, share repurchase and other restricted payments. These covenants are subject to exceptions and qualifications set forth in the credit agreement.</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Any failure to comply with the financial and operating covenants of the Credit Facilities would prevent the Company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March 30, 2019, the Company was in compliance with the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Fee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the Credit Facilities, the Company is required to pay, on the last day of each calendar quarter, a commitment fee on the unused portion of the Revolving Credit Facility. The commitment fee is subject to a pricing grid based on the Company's Consolidated Leverage Ratio. The commitment fee ranges from 0.150% to 0.275%. The current commitment fee on the undrawn portion of the Revolving Credit Facility is 0.175%.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Interest</w:t>
      </w:r>
    </w:p>
    <w:p>
      <w:pPr>
        <w:spacing w:after="0" w:line="22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Expenses associated with the issuance of the Term Loan were capitalized and are amortized to interest expense over the life of the term loan using the effective interest method. As of March 30, 2019, the $336.9 million term loan balance was netted down by the $2.0 million of remaining debt discount, resulting in a net note payable of $334.9 million.</w:t>
      </w:r>
    </w:p>
    <w:p>
      <w:pPr>
        <w:spacing w:after="0" w:line="18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Interest expense was $13.1 million, $7.7 million and $7.9 million for fiscal 2019, 2018 and 2017, respectively. Accrued interest associated with the outstanding debt is included as a component of other current liabilities in the accompanying consolidated balance sheets. As of both March 30, 2019 and March 31, 2018, the Company had an insignificant amount of accrued interest associated with the outstanding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debt maturing during the next five fiscal years and thereafter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ind w:left="40"/>
              <w:spacing w:after="0"/>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14"/>
                <w:szCs w:val="14"/>
                <w:i w:val="1"/>
                <w:iCs w:val="1"/>
                <w:color w:val="auto"/>
              </w:rPr>
              <w:t>(In thousands)</w:t>
            </w:r>
          </w:p>
        </w:tc>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80"/>
        </w:trPr>
        <w:tc>
          <w:tcPr>
            <w:tcW w:w="5880" w:type="dxa"/>
            <w:vAlign w:val="bottom"/>
          </w:tcPr>
          <w:p>
            <w:pPr>
              <w:spacing w:after="0"/>
              <w:rPr>
                <w:sz w:val="6"/>
                <w:szCs w:val="6"/>
                <w:color w:val="auto"/>
              </w:rPr>
            </w:pPr>
          </w:p>
        </w:tc>
        <w:tc>
          <w:tcPr>
            <w:tcW w:w="462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28,262</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2021</w:t>
            </w:r>
          </w:p>
        </w:tc>
        <w:tc>
          <w:tcPr>
            <w:tcW w:w="46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21,942</w:t>
            </w:r>
          </w:p>
        </w:tc>
      </w:tr>
      <w:tr>
        <w:trPr>
          <w:trHeight w:val="27"/>
        </w:trPr>
        <w:tc>
          <w:tcPr>
            <w:tcW w:w="5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17,528</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2023</w:t>
            </w:r>
          </w:p>
        </w:tc>
        <w:tc>
          <w:tcPr>
            <w:tcW w:w="46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214,394</w:t>
            </w:r>
          </w:p>
        </w:tc>
      </w:tr>
      <w:tr>
        <w:trPr>
          <w:trHeight w:val="27"/>
        </w:trPr>
        <w:tc>
          <w:tcPr>
            <w:tcW w:w="5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70,009</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FAIR VALUE MEASUREMENTS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manufactures, markets and sells its products globally. For the fiscal year ended March 30, 2019, 37.3% of the Company's sales were generated outside the U.S. in local currencies. The Company also incurs certain manufacturing, marketing and selling costs in international markets in local currency.</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Designated Foreign Currency Hedge Contracts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All of the Company's designated foreign currency hedge contracts as of March 30, 2019 and March 31, 2018 were cash flow hedges under ASC 815,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("ASC 815"). The Company records the effective portion of any change in the fair value of designated foreign currency hedge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$81.5 million as of March 30, 2019 and $86.0 million as of March 31, 2018. At March 30, 2019, gains of $2.6 million, net of tax, will be reclassified to earnings within the next twelve months. Substantially all currency cash flow hedges outstanding as of March 30, 2019 mature within twelve months.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Foreign Currency Contracts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$37.4 million as of March 30, 2019 and $36.3 million as of March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 million Term Loan and a $350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interest rate swaps, 70% of the Term Loan exposed to interest rate risk from changes in LIBOR are fixed at a rate of 4.05%. The Swaps mature on June 15, 2023. The Company designated the Swaps as cash flow hedges of variable interest rate risk associated with $345.6 million of indebtedness. For fiscal 2019, the Company recorded a loss of $5.2 million in accumulated other comprehensive loss to recognize the effective portion of the fair value of the Swaps that qualify as cash flow hedges.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22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following table presents the effect of the Company's derivative instruments designated as cash flow hedges and those not designated as hedging instruments under ASC 815 in its consolidated statements of income (loss) and comprehensive income (loss) for the fiscal year ended March 30,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Amount of Gain</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in Consolidated</w:t>
            </w:r>
          </w:p>
        </w:tc>
        <w:tc>
          <w:tcPr>
            <w:tcW w:w="16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Amount of Gain</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Statements of Income</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Income (Loss) and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Comprehensive Loss</w:t>
            </w:r>
          </w:p>
        </w:tc>
        <w:tc>
          <w:tcPr>
            <w:tcW w:w="1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(Loss) and Comprehensive</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Comprehensive 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into Earnings</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8"/>
              </w:rPr>
              <w:t>Testing</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64"/>
        </w:trPr>
        <w:tc>
          <w:tcPr>
            <w:tcW w:w="37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Designated foreign currency hedge contracts, net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 COGS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Interest and other</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w w:val="93"/>
              </w:rPr>
              <w:t>Interest and other</w:t>
            </w: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94"/>
              </w:rPr>
              <w:t>Non-designated foreign currency hedge contracts</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60" w:type="dxa"/>
            <w:vAlign w:val="bottom"/>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March 30, 2019 or March 31, 2018. As of March 30, 2019, no deferred tax assets were recognized for designated foreign currency hedges.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March 30, 2019,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of the Company's derivative instruments as they appear in its consolidated balance sheets as of March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980" w:type="dxa"/>
            <w:vAlign w:val="bottom"/>
            <w:gridSpan w:val="2"/>
          </w:tcPr>
          <w:p>
            <w:pPr>
              <w:ind w:left="1100"/>
              <w:spacing w:after="0"/>
              <w:rPr>
                <w:sz w:val="20"/>
                <w:szCs w:val="20"/>
                <w:color w:val="auto"/>
              </w:rPr>
            </w:pPr>
            <w:r>
              <w:rPr>
                <w:rFonts w:ascii="Arial" w:cs="Arial" w:eastAsia="Arial" w:hAnsi="Arial"/>
                <w:sz w:val="14"/>
                <w:szCs w:val="14"/>
                <w:color w:val="auto"/>
              </w:rPr>
              <w:t>Location in</w:t>
            </w: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 March 30, 2019</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As of March 31, 2018</w:t>
            </w:r>
          </w:p>
        </w:tc>
        <w:tc>
          <w:tcPr>
            <w:tcW w:w="0" w:type="dxa"/>
            <w:vAlign w:val="bottom"/>
          </w:tcPr>
          <w:p>
            <w:pPr>
              <w:spacing w:after="0"/>
              <w:rPr>
                <w:sz w:val="1"/>
                <w:szCs w:val="1"/>
                <w:color w:val="auto"/>
              </w:rPr>
            </w:pPr>
          </w:p>
        </w:tc>
      </w:tr>
      <w:tr>
        <w:trPr>
          <w:trHeight w:val="188"/>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gridSpan w:val="2"/>
          </w:tcPr>
          <w:p>
            <w:pPr>
              <w:ind w:left="1020"/>
              <w:spacing w:after="0"/>
              <w:rPr>
                <w:sz w:val="20"/>
                <w:szCs w:val="20"/>
                <w:color w:val="auto"/>
              </w:rPr>
            </w:pPr>
            <w:r>
              <w:rPr>
                <w:rFonts w:ascii="Arial" w:cs="Arial" w:eastAsia="Arial" w:hAnsi="Arial"/>
                <w:sz w:val="14"/>
                <w:szCs w:val="14"/>
                <w:color w:val="auto"/>
              </w:rPr>
              <w:t>Balance Sheet</w:t>
            </w:r>
          </w:p>
        </w:tc>
        <w:tc>
          <w:tcPr>
            <w:tcW w:w="158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1,104</w:t>
            </w:r>
          </w:p>
        </w:tc>
        <w:tc>
          <w:tcPr>
            <w:tcW w:w="0" w:type="dxa"/>
            <w:vAlign w:val="bottom"/>
          </w:tcPr>
          <w:p>
            <w:pPr>
              <w:spacing w:after="0"/>
              <w:rPr>
                <w:sz w:val="1"/>
                <w:szCs w:val="1"/>
                <w:color w:val="auto"/>
              </w:rPr>
            </w:pPr>
          </w:p>
        </w:tc>
      </w:tr>
      <w:tr>
        <w:trPr>
          <w:trHeight w:val="67"/>
        </w:trPr>
        <w:tc>
          <w:tcPr>
            <w:tcW w:w="5360" w:type="dxa"/>
            <w:vAlign w:val="bottom"/>
            <w:tcBorders>
              <w:bottom w:val="single" w:sz="8" w:color="CCEEFF"/>
            </w:tcBorders>
          </w:tcPr>
          <w:p>
            <w:pPr>
              <w:spacing w:after="0"/>
              <w:rPr>
                <w:sz w:val="5"/>
                <w:szCs w:val="5"/>
                <w:color w:val="auto"/>
              </w:rPr>
            </w:pPr>
          </w:p>
        </w:tc>
        <w:tc>
          <w:tcPr>
            <w:tcW w:w="28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interest rate swaps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5,348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51"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49" w:lineRule="exact"/>
        <w:rPr>
          <w:rFonts w:ascii="Arial" w:cs="Arial" w:eastAsia="Arial" w:hAnsi="Arial"/>
          <w:sz w:val="18"/>
          <w:szCs w:val="18"/>
          <w:color w:val="auto"/>
        </w:rPr>
      </w:pPr>
    </w:p>
    <w:p>
      <w:pPr>
        <w:ind w:right="460" w:firstLine="8"/>
        <w:spacing w:after="0" w:line="297"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right="160" w:firstLine="8"/>
        <w:spacing w:after="0" w:line="324"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43" w:lineRule="exact"/>
        <w:rPr>
          <w:sz w:val="20"/>
          <w:szCs w:val="20"/>
          <w:color w:val="auto"/>
        </w:rPr>
      </w:pPr>
    </w:p>
    <w:p>
      <w:pPr>
        <w:ind w:left="60" w:right="50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6" w:right="25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March 30, 2019 and March 31,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gridSpan w:val="6"/>
          </w:tcPr>
          <w:p>
            <w:pPr>
              <w:jc w:val="center"/>
              <w:ind w:right="70"/>
              <w:spacing w:after="0"/>
              <w:rPr>
                <w:sz w:val="20"/>
                <w:szCs w:val="20"/>
                <w:color w:val="auto"/>
              </w:rPr>
            </w:pPr>
            <w:r>
              <w:rPr>
                <w:rFonts w:ascii="Arial" w:cs="Arial" w:eastAsia="Arial" w:hAnsi="Arial"/>
                <w:sz w:val="14"/>
                <w:szCs w:val="14"/>
                <w:b w:val="1"/>
                <w:bCs w:val="1"/>
                <w:color w:val="auto"/>
                <w:w w:val="93"/>
              </w:rPr>
              <w:t>As of March 30, 2019</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36,980</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36,980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36,980</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38,257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5,348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gridSpan w:val="6"/>
          </w:tcPr>
          <w:p>
            <w:pPr>
              <w:jc w:val="center"/>
              <w:ind w:right="70"/>
              <w:spacing w:after="0"/>
              <w:rPr>
                <w:sz w:val="20"/>
                <w:szCs w:val="20"/>
                <w:color w:val="auto"/>
              </w:rPr>
            </w:pPr>
            <w:r>
              <w:rPr>
                <w:rFonts w:ascii="Arial" w:cs="Arial" w:eastAsia="Arial" w:hAnsi="Arial"/>
                <w:sz w:val="14"/>
                <w:szCs w:val="14"/>
                <w:b w:val="1"/>
                <w:bCs w:val="1"/>
                <w:color w:val="auto"/>
                <w:w w:val="93"/>
              </w:rPr>
              <w:t>As of March 31, 2018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0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75,450</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75,450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75,450</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76,554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1,583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Term Loan (which is carried at amortized cost), accounts receivable and accounts payable approximate fair value. Details pertaining to the Term Loan can be found in Note 11, </w:t>
      </w:r>
      <w:r>
        <w:rPr>
          <w:rFonts w:ascii="Arial" w:cs="Arial" w:eastAsia="Arial" w:hAnsi="Arial"/>
          <w:sz w:val="18"/>
          <w:szCs w:val="18"/>
          <w:i w:val="1"/>
          <w:iCs w:val="1"/>
          <w:color w:val="auto"/>
        </w:rPr>
        <w:t>Notes Payable and Long-Term Debt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PRODUCT WARRANTIES</w:t>
      </w:r>
    </w:p>
    <w:p>
      <w:pPr>
        <w:spacing w:after="0" w:line="229"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The Company generally provides warranty on parts and labor for one year after the sale and installation of each device. The Company also warrants disposables products through their use or expiration. The Company estimates potential warranty expense based on historical warranty experience and periodically assesses the adequacy of the warranty accrual, making adjustments as necessary.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7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year</w:t>
            </w:r>
          </w:p>
        </w:tc>
        <w:tc>
          <w:tcPr>
            <w:tcW w:w="4840" w:type="dxa"/>
            <w:vAlign w:val="bottom"/>
            <w:tcBorders>
              <w:bottom w:val="single" w:sz="8" w:color="CCEEFF"/>
            </w:tcBorders>
            <w:gridSpan w:val="2"/>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3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37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color w:val="auto"/>
              </w:rPr>
              <w:t>Warranty accrual as of the end of the year</w:t>
            </w:r>
          </w:p>
        </w:tc>
        <w:tc>
          <w:tcPr>
            <w:tcW w:w="378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780" w:type="dxa"/>
            <w:vAlign w:val="bottom"/>
            <w:vMerge w:val="restart"/>
          </w:tcPr>
          <w:p>
            <w:pPr>
              <w:jc w:val="right"/>
              <w:ind w:right="2450"/>
              <w:spacing w:after="0"/>
              <w:rPr>
                <w:sz w:val="20"/>
                <w:szCs w:val="20"/>
                <w:color w:val="auto"/>
              </w:rPr>
            </w:pPr>
            <w:r>
              <w:rPr>
                <w:rFonts w:ascii="Arial" w:cs="Arial" w:eastAsia="Arial" w:hAnsi="Arial"/>
                <w:sz w:val="18"/>
                <w:szCs w:val="18"/>
                <w:color w:val="auto"/>
              </w:rPr>
              <w:t>73</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Company has a Savings Plus Plan (the "401k Plan") that is a 401(k) plan that allows its U.S. employees to accumulate savings on a pre-tax basis. In addition, matching contributions are made to the 401k Plan based upon pre-established rates. The Company's matching contributions amounted to approximately $5.0 million, $5.5 million and $5.1 million in fiscal 2019, 2018 and 2017, respectively. Upon Board approval, additional discretionary contributions can also be made. No discretionary contributions were made for the 401k Plan in fiscal 2019, 2018, or 2017.</w:t>
      </w:r>
    </w:p>
    <w:p>
      <w:pPr>
        <w:spacing w:after="0" w:line="17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Some of the Company's subsidiaries also have defined contribution plans, to which both the employee and the employer make contributions. The employer contributions to these plans totaled $0.6 million, $0.7 million and 0.8 million in fiscal 2019,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ASC Topic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loss on its consolidated statement of stockholders’ equity and consolidated statement of comprehensive income (loss).</w:t>
      </w:r>
    </w:p>
    <w:p>
      <w:pPr>
        <w:spacing w:after="0" w:line="17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that are subject to change.</w:t>
      </w:r>
    </w:p>
    <w:p>
      <w:pPr>
        <w:ind w:right="520"/>
        <w:spacing w:after="0" w:line="261" w:lineRule="auto"/>
        <w:rPr>
          <w:sz w:val="20"/>
          <w:szCs w:val="20"/>
          <w:color w:val="auto"/>
        </w:rPr>
      </w:pPr>
      <w:r>
        <w:rPr>
          <w:rFonts w:ascii="Arial" w:cs="Arial" w:eastAsia="Arial" w:hAnsi="Arial"/>
          <w:sz w:val="18"/>
          <w:szCs w:val="18"/>
          <w:color w:val="auto"/>
        </w:rPr>
        <w:t>Some of the Company's foreign subsidiaries have defined benefit pension plans covering substantially all full time employees at those subsidiaries. Net periodic benefit costs for the plans in the aggregate include the following components: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2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w:t>
            </w:r>
          </w:p>
        </w:tc>
        <w:tc>
          <w:tcPr>
            <w:tcW w:w="2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 unrecognized transition obligation</w:t>
            </w:r>
          </w:p>
        </w:tc>
        <w:tc>
          <w:tcPr>
            <w:tcW w:w="2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settlements and curtailments</w:t>
            </w:r>
          </w:p>
        </w:tc>
        <w:tc>
          <w:tcPr>
            <w:tcW w:w="2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Totals</w:t>
            </w:r>
          </w:p>
        </w:tc>
        <w:tc>
          <w:tcPr>
            <w:tcW w:w="20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1,989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4,122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80" w:type="dxa"/>
            <w:vAlign w:val="bottom"/>
            <w:vMerge w:val="restart"/>
          </w:tcPr>
          <w:p>
            <w:pPr>
              <w:jc w:val="right"/>
              <w:ind w:right="850"/>
              <w:spacing w:after="0"/>
              <w:rPr>
                <w:sz w:val="20"/>
                <w:szCs w:val="20"/>
                <w:color w:val="auto"/>
              </w:rPr>
            </w:pPr>
            <w:r>
              <w:rPr>
                <w:rFonts w:ascii="Arial" w:cs="Arial" w:eastAsia="Arial" w:hAnsi="Arial"/>
                <w:sz w:val="18"/>
                <w:szCs w:val="18"/>
                <w:color w:val="auto"/>
              </w:rPr>
              <w:t>74</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activity under those defined benefit plans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(30,476)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(31,345)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Actuarial gain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and plan participants contribution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Plan settlements and curtailments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changes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Benefit obligation,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(30,476)</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16,322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17,285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gain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Employee and plan participants contribution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Foreign currency changes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of plan assets,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16,287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16,322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40" w:type="dxa"/>
            <w:vAlign w:val="bottom"/>
          </w:tcPr>
          <w:p>
            <w:pPr>
              <w:ind w:left="40"/>
              <w:spacing w:after="0" w:line="257" w:lineRule="exact"/>
              <w:rPr>
                <w:sz w:val="20"/>
                <w:szCs w:val="20"/>
                <w:color w:val="auto"/>
              </w:rPr>
            </w:pPr>
            <w:r>
              <w:rPr>
                <w:rFonts w:ascii="Arial" w:cs="Arial" w:eastAsia="Arial" w:hAnsi="Arial"/>
                <w:sz w:val="18"/>
                <w:szCs w:val="18"/>
                <w:color w:val="auto"/>
              </w:rPr>
              <w:t>Funded Status</w:t>
            </w:r>
            <w:r>
              <w:rPr>
                <w:rFonts w:ascii="Arial" w:cs="Arial" w:eastAsia="Arial" w:hAnsi="Arial"/>
                <w:sz w:val="25"/>
                <w:szCs w:val="25"/>
                <w:color w:val="auto"/>
                <w:vertAlign w:val="superscript"/>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(14,350)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(14,154)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net actuarial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prior service cost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amount recognized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 Substantially all of the unfunded status is non-current</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One of the benefit plans is funded by benefit payments made by the Company through the purchase of reinsurance contracts that do not qualify as plan assets under ASC Topic 715. Accordingly that plan has no assets included in the information presented above. The total asset value associated with the reinsurance contracts was $6.1 million and $6.5 million at March 30, 2019 and March 31, 2018, respectively. The total liability for this plan, which is included in the table above, was $9.4 million and $9.9 million as of March 30, 2019 and March 31, 2018, respectively.</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accumulated benefit obligation for all plans was $28.6 million and $29.6 million for fiscal 2019 and 2018, respectively. There were no plans where the plan assets were greater than the accumulated benefit obligation as of March 30, 2019 and March 31,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components of the change recorded in the Company's accumulated other comprehensive loss related to its defined benefit plans, net of tax,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April 2, 2016</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Obligation at transition</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1, 2017</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1,922</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Plan settlements and curtailments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Plan settlements and curtailments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March 30, 2019</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amortize $0.3 million from accumulated other comprehensive loss to net periodic benefit cost during fiscal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rates used to determine the net periodic benefit costs and projected benefit obligations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Rate of increased salary levels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1.78%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long-term rate of return on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0.75%</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other material obligation for post-retirement or post-employment benefits.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 policy for pension plans is to balance risk and return through a diversified portfolio to reduce interest rate and market risk.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Maturities are managed so that sufficient liquidity exists to meet immediate and future benefit payment requirements.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provides guidance for reporting and measuring the plan assets of the Company's defined benefit pension plan at fair value as of March 30, 2019. Using the same three-level valuation hierarchy for disclosure of fair value measurements as described in Note 12, </w:t>
      </w:r>
      <w:r>
        <w:rPr>
          <w:rFonts w:ascii="Arial" w:cs="Arial" w:eastAsia="Arial" w:hAnsi="Arial"/>
          <w:sz w:val="18"/>
          <w:szCs w:val="18"/>
          <w:i w:val="1"/>
          <w:iCs w:val="1"/>
          <w:color w:val="auto"/>
        </w:rPr>
        <w:t>Derivatives and Fair Value Measurements</w:t>
      </w:r>
      <w:r>
        <w:rPr>
          <w:rFonts w:ascii="Arial" w:cs="Arial" w:eastAsia="Arial" w:hAnsi="Arial"/>
          <w:sz w:val="18"/>
          <w:szCs w:val="18"/>
          <w:color w:val="auto"/>
        </w:rPr>
        <w:t>, all of the assets of the Company’s plan are classified within Level 2 of the fair value hierarchy because the plan assets are primarily insurance contracts.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Expected benefit payments for both plans are estimated using the same assumptions used in determining the Company’s benefit obligation at March 30, 2019.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bl>
      <w:tblPr>
        <w:tblLayout w:type="fixed"/>
        <w:tblInd w:w="0" w:type="dxa"/>
        <w:tblCellMar>
          <w:top w:w="0" w:type="dxa"/>
          <w:left w:w="0" w:type="dxa"/>
          <w:bottom w:w="0" w:type="dxa"/>
          <w:right w:w="0" w:type="dxa"/>
        </w:tblCellMar>
      </w:tblPr>
      <w:tr>
        <w:trPr>
          <w:trHeight w:val="254"/>
        </w:trPr>
        <w:tc>
          <w:tcPr>
            <w:tcW w:w="1220" w:type="dxa"/>
            <w:vAlign w:val="bottom"/>
            <w:tcBorders>
              <w:top w:val="single" w:sz="8" w:color="0000EE"/>
            </w:tcBorders>
          </w:tcPr>
          <w:p>
            <w:pPr>
              <w:spacing w:after="0"/>
              <w:rPr>
                <w:sz w:val="22"/>
                <w:szCs w:val="22"/>
                <w:color w:val="auto"/>
              </w:rPr>
            </w:pPr>
          </w:p>
        </w:tc>
        <w:tc>
          <w:tcPr>
            <w:tcW w:w="8720" w:type="dxa"/>
            <w:vAlign w:val="bottom"/>
          </w:tcPr>
          <w:p>
            <w:pPr>
              <w:jc w:val="center"/>
              <w:ind w:left="190"/>
              <w:spacing w:after="0"/>
              <w:rPr>
                <w:sz w:val="20"/>
                <w:szCs w:val="20"/>
                <w:color w:val="auto"/>
              </w:rPr>
            </w:pPr>
            <w:r>
              <w:rPr>
                <w:rFonts w:ascii="Arial" w:cs="Arial" w:eastAsia="Arial" w:hAnsi="Arial"/>
                <w:sz w:val="18"/>
                <w:szCs w:val="18"/>
                <w:b w:val="1"/>
                <w:bCs w:val="1"/>
                <w:color w:val="auto"/>
              </w:rPr>
              <w:t>HAEMONETICS CORPORATION AND SUBSIDIARIES</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06"/>
        </w:trPr>
        <w:tc>
          <w:tcPr>
            <w:tcW w:w="1220" w:type="dxa"/>
            <w:vAlign w:val="bottom"/>
          </w:tcPr>
          <w:p>
            <w:pPr>
              <w:spacing w:after="0"/>
              <w:rPr>
                <w:sz w:val="24"/>
                <w:szCs w:val="24"/>
                <w:color w:val="auto"/>
              </w:rPr>
            </w:pPr>
          </w:p>
        </w:tc>
        <w:tc>
          <w:tcPr>
            <w:tcW w:w="872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75"/>
        </w:trPr>
        <w:tc>
          <w:tcPr>
            <w:tcW w:w="9940" w:type="dxa"/>
            <w:vAlign w:val="bottom"/>
            <w:gridSpan w:val="2"/>
          </w:tcPr>
          <w:p>
            <w:pPr>
              <w:spacing w:after="0"/>
              <w:rPr>
                <w:sz w:val="20"/>
                <w:szCs w:val="20"/>
                <w:color w:val="auto"/>
              </w:rPr>
            </w:pPr>
            <w:r>
              <w:rPr>
                <w:rFonts w:ascii="Arial" w:cs="Arial" w:eastAsia="Arial" w:hAnsi="Arial"/>
                <w:sz w:val="18"/>
                <w:szCs w:val="18"/>
                <w:color w:val="auto"/>
              </w:rPr>
              <w:t>Estimated future benefit payments are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99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2021</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1,252</w:t>
            </w:r>
          </w:p>
        </w:tc>
      </w:tr>
      <w:tr>
        <w:trPr>
          <w:trHeight w:val="27"/>
        </w:trPr>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2023</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1,331</w:t>
            </w:r>
          </w:p>
        </w:tc>
      </w:tr>
      <w:tr>
        <w:trPr>
          <w:trHeight w:val="27"/>
        </w:trPr>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2025-2029</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6,447</w:t>
            </w:r>
          </w:p>
        </w:tc>
      </w:tr>
      <w:tr>
        <w:trPr>
          <w:trHeight w:val="27"/>
        </w:trPr>
        <w:tc>
          <w:tcPr>
            <w:tcW w:w="1220" w:type="dxa"/>
            <w:vAlign w:val="bottom"/>
            <w:tcBorders>
              <w:bottom w:val="single" w:sz="8" w:color="CCEEFF"/>
            </w:tcBorders>
          </w:tcPr>
          <w:p>
            <w:pPr>
              <w:spacing w:after="0"/>
              <w:rPr>
                <w:sz w:val="2"/>
                <w:szCs w:val="2"/>
                <w:color w:val="auto"/>
              </w:rPr>
            </w:pPr>
          </w:p>
        </w:tc>
        <w:tc>
          <w:tcPr>
            <w:tcW w:w="8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1220" w:type="dxa"/>
            <w:vAlign w:val="bottom"/>
            <w:tcBorders>
              <w:bottom w:val="single" w:sz="8" w:color="CCEEFF"/>
            </w:tcBorders>
            <w:shd w:val="clear" w:color="auto" w:fill="CCEEFF"/>
          </w:tcPr>
          <w:p>
            <w:pPr>
              <w:spacing w:after="0"/>
              <w:rPr>
                <w:sz w:val="22"/>
                <w:szCs w:val="22"/>
                <w:color w:val="auto"/>
              </w:rPr>
            </w:pPr>
          </w:p>
        </w:tc>
        <w:tc>
          <w:tcPr>
            <w:tcW w:w="8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13,443</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contributions for fiscal 2020 are expected to be consistent with the current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facilities and certain equipment under operating leases expiring at various dates through fiscal 2026. Facility leases require the Company to pay certain insurance expenses, maintenance costs and real estate taxes.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Approximate future basic rental commitments under operating leases as of March 30, 2019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6"/>
        </w:trPr>
        <w:tc>
          <w:tcPr>
            <w:tcW w:w="99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3,726</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3,146</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1,336</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17,672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Rent expense in fiscal 2019, 2018 and 2017 was $6.4 million, $6.4 million and $6.2 million, respectively. Some of the Company's operating leases include renewal provisions and escalation clauses that the Company leases.</w:t>
      </w:r>
    </w:p>
    <w:p>
      <w:pPr>
        <w:spacing w:after="0" w:line="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for all matters. Legal costs are expensed as incurred.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Recalls</w:t>
      </w: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March 2018, the Company issued a voluntary recall of specific lots of its Acrodose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Plus and PL Systems sold to its Blood Center customers in the U.S. The recall resulted from reports of low pH readings for platelets stored in the CLX HP bag and, in some instances, an accompanying yellow discoloration of the storage bag. For a period of nine weeks, the Company was unable to provide its customers with its Acrodose Plus and PL Systems. As a result of the recall, Blood Center customers may have discarded collected platelets and incurred other damages. During fiscal 2019 the Company entered into settlement agreements with certain customers responsible for substantially all of the total outstanding claims against it. As of March 30, 2019, the Company has recorded cumulative charges of $2.2 million associated with this recall which consists of $1.3 million of charges associated with customer returns and inventory reserves and $0.9 million of charges associated with customer claims. Substantially all of these claims have been paid as of March 30, 2019.</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2018, the Company issued a voluntary recall of certain whole blood collection kits sold to its Blood Center customers in the U.S. The recall resulted from some collection sets' filters failing to adequately remove leukocytes from collected blood. As a result of the recall, the Company's Blood Center customers may have conducted tests to confirm that the collected blood was adequately leukoreduced, sold the collected blood labeled as non-leukoreduced at a lower price or</w:t>
      </w:r>
    </w:p>
    <w:p>
      <w:pPr>
        <w:sectPr>
          <w:pgSz w:w="11900" w:h="16838" w:orient="portrait"/>
          <w:cols w:equalWidth="0" w:num="1">
            <w:col w:w="11420"/>
          </w:cols>
          <w:pgMar w:left="240" w:top="117"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17" w:right="239" w:bottom="1440" w:gutter="0" w:footer="0" w:header="0"/>
          <w:type w:val="continuous"/>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discarded the collected blood. As of March 30, 2019, the Company has recorded cumulative charges of $1.9 million associated with this recall which consists of $0.1 million of charges associated with customer returns and inventory reserves and $1.8 million of charges associated with customer claims. The Company may record incremental charges for customer claims in future periods associated with this recall.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2005 Long-Term Incentive Compensation Plan (the “2005 Incentive Compensation Plan”) permits the award of non-qualified stock options, incentive stock options, stock appreciation rights, restricted stock, deferred stock/restricted stock units, other stock units and performance shares to the Company’s key employees, officers and directors. The 2005 Incentive Compensation Plan is administered by the Compensation Committee of the Board of Directors (the “Committee”) consisting of four independent members of the Company's Board of Directors.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maximum number of shares available for award under the 2005 Incentive Compensation Plan is 19,824,920. The maximum number of shares that may be issued pursuant to incentive stock options may not exceed 500,000. Any shares that are subject to the award of stock options shall be counted against this limit as one share for every one share issued. Any shares that are subject to awards other than stock options shall be counted against this limit as 3.02 shares for every one share granted. The total shares available for future grant as of March 30, 2019 were 3,897,238.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Compensation cost related to share-based transactions is recognized in the consolidated financial statements based on fair value. The total amount of share-based compensation expense, which is recorded on a straight line basis,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00" w:type="dxa"/>
            <w:vAlign w:val="bottom"/>
            <w:tcBorders>
              <w:bottom w:val="single" w:sz="8" w:color="CCEEFF"/>
            </w:tcBorders>
            <w:shd w:val="clear" w:color="auto" w:fill="CCEEFF"/>
          </w:tcPr>
          <w:p>
            <w:pPr>
              <w:jc w:val="center"/>
              <w:ind w:left="794"/>
              <w:spacing w:after="0"/>
              <w:rPr>
                <w:sz w:val="20"/>
                <w:szCs w:val="20"/>
                <w:color w:val="auto"/>
              </w:rPr>
            </w:pPr>
            <w:r>
              <w:rPr>
                <w:rFonts w:ascii="Arial" w:cs="Arial" w:eastAsia="Arial" w:hAnsi="Arial"/>
                <w:sz w:val="18"/>
                <w:szCs w:val="18"/>
                <w:color w:val="auto"/>
                <w:w w:val="89"/>
              </w:rPr>
              <w:t>$12,878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jc w:val="center"/>
              <w:ind w:left="774"/>
              <w:spacing w:after="0"/>
              <w:rPr>
                <w:sz w:val="20"/>
                <w:szCs w:val="20"/>
                <w:color w:val="auto"/>
              </w:rPr>
            </w:pPr>
            <w:r>
              <w:rPr>
                <w:rFonts w:ascii="Arial" w:cs="Arial" w:eastAsia="Arial" w:hAnsi="Arial"/>
                <w:sz w:val="18"/>
                <w:szCs w:val="18"/>
                <w:color w:val="auto"/>
                <w:w w:val="88"/>
              </w:rPr>
              <w:t>2,972</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1,549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500" w:type="dxa"/>
            <w:vAlign w:val="bottom"/>
            <w:tcBorders>
              <w:bottom w:val="single" w:sz="8" w:color="CCEEFF"/>
            </w:tcBorders>
            <w:shd w:val="clear" w:color="auto" w:fill="CCEEFF"/>
          </w:tcPr>
          <w:p>
            <w:pPr>
              <w:jc w:val="center"/>
              <w:ind w:left="774"/>
              <w:spacing w:after="0"/>
              <w:rPr>
                <w:sz w:val="20"/>
                <w:szCs w:val="20"/>
                <w:color w:val="auto"/>
              </w:rPr>
            </w:pPr>
            <w:r>
              <w:rPr>
                <w:rFonts w:ascii="Arial" w:cs="Arial" w:eastAsia="Arial" w:hAnsi="Arial"/>
                <w:sz w:val="18"/>
                <w:szCs w:val="18"/>
                <w:color w:val="auto"/>
                <w:w w:val="88"/>
              </w:rPr>
              <w:t>1,338</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w:t>
            </w:r>
          </w:p>
        </w:tc>
      </w:tr>
      <w:tr>
        <w:trPr>
          <w:trHeight w:val="237"/>
        </w:trPr>
        <w:tc>
          <w:tcPr>
            <w:tcW w:w="6740" w:type="dxa"/>
            <w:vAlign w:val="bottom"/>
          </w:tcPr>
          <w:p>
            <w:pPr>
              <w:spacing w:after="0"/>
              <w:rPr>
                <w:sz w:val="20"/>
                <w:szCs w:val="20"/>
                <w:color w:val="auto"/>
              </w:rPr>
            </w:pPr>
          </w:p>
        </w:tc>
        <w:tc>
          <w:tcPr>
            <w:tcW w:w="1500" w:type="dxa"/>
            <w:vAlign w:val="bottom"/>
            <w:tcBorders>
              <w:top w:val="single" w:sz="8" w:color="auto"/>
            </w:tcBorders>
          </w:tcPr>
          <w:p>
            <w:pPr>
              <w:jc w:val="center"/>
              <w:ind w:left="794"/>
              <w:spacing w:after="0"/>
              <w:rPr>
                <w:sz w:val="20"/>
                <w:szCs w:val="20"/>
                <w:color w:val="auto"/>
              </w:rPr>
            </w:pPr>
            <w:r>
              <w:rPr>
                <w:rFonts w:ascii="Arial" w:cs="Arial" w:eastAsia="Arial" w:hAnsi="Arial"/>
                <w:sz w:val="18"/>
                <w:szCs w:val="18"/>
                <w:color w:val="auto"/>
                <w:w w:val="89"/>
              </w:rPr>
              <w:t>$17,188</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$9,150</w:t>
            </w: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Options are granted to purchase common stock at prices as determined by the Committee, but in no event shall such exercise price be less than the fair market value of the common stock at the time of the grant. Options generally vest in equal installments over a four year period for employees and one year from grant for non-employee directors. Options expire not more than 7 years from the date of the grant. The grant-date fair value of options, adjusted for estimated forfeitures, is recognized as expense on a straight line basis over the requisite service period, which is generally the vesting period. Forfeitures are estimated based on historical experience.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fiscal year ended March 30,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1,197,438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43,685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209,675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94.67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(102,886)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30, 2019</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1,013,403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48.55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40,902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30, 2019</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366,857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18,655</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or expected to vest at March 30, 2019</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936,291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38,931</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$19.4 million, $15.4 million and $8.3 million during fiscal 2019, 2018 and 2017, respectively.</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March 30, 2019, there was $7.3 million of total unrecognized compensation cost related to non-vested stock options. This cost is expected to be recognized over a weighted average period of 2.8 years.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 was estimated using the Black-Scholes option-pricing model based on the average of the high and low stock prices at the grant date and the weighted average assumptions specific to the underlying options. Expected volatility assumptions are based on the historical volatility of the Company's common stock over the expected term of the option.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utilized for option grants during the periods presented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9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4.9</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 per Option</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26.67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7.61</w:t>
            </w:r>
          </w:p>
        </w:tc>
      </w:tr>
      <w:tr>
        <w:trPr>
          <w:trHeight w:val="27"/>
        </w:trPr>
        <w:tc>
          <w:tcPr>
            <w:tcW w:w="6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Restricted Stock Units ("RSUs") generally vest in equal installments over a four year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for the fiscal year ended March 30,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37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37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35"/>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Unvested at March 31, 2018</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108,611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44.15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Unvested at March 30, 2019</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309,222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57.07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4"/>
              </w:rPr>
              <w:t>The weighted-average grant-date fair value of RSUs granted and total fair value of RSUs vested are as follows:</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 per RSU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RSUs vested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30, 2019, there was $13.1 million of total unrecognized compensation cost related to non-vested restricted stock units. This cost is expected to be recognized over a weighted average period of 2.6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grant date fair value of Performance Share Units ("PSUs"), adjusted for estimated forfeitures, is recognized as expense on a straight line basis from the grant date through the end of the performance period. The value of these PSUs is generally based on relative total shareholder return which equals total shareholder return for the Company as compared to total shareholder return of the PSU comparison group, measured over a three year performance period. The PSU comparison group consists of the S&amp;P Mid Cap 400 and the S&amp;P Small Cap 600 indices. Depending on the Company's relative performance during the performance period, a recipient of the award is entitled to receive a number of ordinary shares equal to a percentage, ranging from 0% to 200%, of the award granted. If the Company’s total shareholder return for the performance period is negative, then any share payout will be capped at 100% of the target award, regardless of the Company's performance relative to the its comparison group. In addition to these relative total shareholder return PSUs, the Company's Chief Executive Officer received PSU grants during both fiscal 2018 and 2017 with performance conditions based on the financial results of the Company and other internal metrics. As a result, the Company may issue up to 872,887 shares related to outstanding performance based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 activity for the fiscal year ended March 30,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63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Unvested at March 31, 2018</w:t>
            </w:r>
          </w:p>
        </w:tc>
        <w:tc>
          <w:tcPr>
            <w:tcW w:w="6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388,107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94,460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115.64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Vested</w:t>
            </w:r>
            <w:r>
              <w:rPr>
                <w:rFonts w:ascii="Arial" w:cs="Arial" w:eastAsia="Arial" w:hAnsi="Arial"/>
                <w:sz w:val="25"/>
                <w:szCs w:val="25"/>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(21,559)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2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Unvested at March 30, 2019</w:t>
            </w:r>
          </w:p>
        </w:tc>
        <w:tc>
          <w:tcPr>
            <w:tcW w:w="6380" w:type="dxa"/>
            <w:vAlign w:val="bottom"/>
            <w:shd w:val="clear" w:color="auto" w:fill="CCEEFF"/>
          </w:tcPr>
          <w:p>
            <w:pPr>
              <w:jc w:val="right"/>
              <w:ind w:right="6017"/>
              <w:spacing w:after="0"/>
              <w:rPr>
                <w:sz w:val="20"/>
                <w:szCs w:val="20"/>
                <w:color w:val="auto"/>
              </w:rPr>
            </w:pPr>
            <w:r>
              <w:rPr>
                <w:rFonts w:ascii="Arial" w:cs="Arial" w:eastAsia="Arial" w:hAnsi="Arial"/>
                <w:sz w:val="13"/>
                <w:szCs w:val="13"/>
                <w:color w:val="auto"/>
                <w:w w:val="87"/>
                <w:shd w:val="clear" w:color="auto" w:fill="CCEEFF"/>
              </w:rPr>
              <w:t>(2)(3)</w:t>
            </w:r>
          </w:p>
        </w:tc>
        <w:tc>
          <w:tcPr>
            <w:tcW w:w="11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448,656</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54.22</w:t>
            </w:r>
          </w:p>
        </w:tc>
        <w:tc>
          <w:tcPr>
            <w:tcW w:w="0" w:type="dxa"/>
            <w:vAlign w:val="bottom"/>
          </w:tcPr>
          <w:p>
            <w:pPr>
              <w:spacing w:after="0"/>
              <w:rPr>
                <w:sz w:val="1"/>
                <w:szCs w:val="1"/>
                <w:color w:val="auto"/>
              </w:rPr>
            </w:pPr>
          </w:p>
        </w:tc>
      </w:tr>
      <w:tr>
        <w:trPr>
          <w:trHeight w:val="64"/>
        </w:trPr>
        <w:tc>
          <w:tcPr>
            <w:tcW w:w="40" w:type="dxa"/>
            <w:vAlign w:val="bottom"/>
            <w:tcBorders>
              <w:bottom w:val="single" w:sz="8" w:color="CCEEFF"/>
            </w:tcBorders>
            <w:shd w:val="clear" w:color="auto" w:fill="CCEEFF"/>
          </w:tcPr>
          <w:p>
            <w:pPr>
              <w:spacing w:after="0"/>
              <w:rPr>
                <w:sz w:val="5"/>
                <w:szCs w:val="5"/>
                <w:color w:val="auto"/>
              </w:rPr>
            </w:pPr>
          </w:p>
        </w:tc>
        <w:tc>
          <w:tcPr>
            <w:tcW w:w="2040" w:type="dxa"/>
            <w:vAlign w:val="bottom"/>
            <w:tcBorders>
              <w:bottom w:val="single" w:sz="8" w:color="CCEEFF"/>
            </w:tcBorders>
            <w:vMerge w:val="continue"/>
            <w:shd w:val="clear" w:color="auto" w:fill="CCEEFF"/>
          </w:tcPr>
          <w:p>
            <w:pPr>
              <w:spacing w:after="0"/>
              <w:rPr>
                <w:sz w:val="5"/>
                <w:szCs w:val="5"/>
                <w:color w:val="auto"/>
              </w:rPr>
            </w:pPr>
          </w:p>
        </w:tc>
        <w:tc>
          <w:tcPr>
            <w:tcW w:w="638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gridSpan w:val="2"/>
            <w:vMerge w:val="continue"/>
            <w:shd w:val="clear" w:color="auto" w:fill="CCEEFF"/>
          </w:tcPr>
          <w:p>
            <w:pPr>
              <w:spacing w:after="0"/>
              <w:rPr>
                <w:sz w:val="5"/>
                <w:szCs w:val="5"/>
                <w:color w:val="auto"/>
              </w:rPr>
            </w:pPr>
          </w:p>
        </w:tc>
        <w:tc>
          <w:tcPr>
            <w:tcW w:w="15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0" w:firstLine="8"/>
        <w:spacing w:after="0" w:line="245" w:lineRule="auto"/>
        <w:tabs>
          <w:tab w:leader="none" w:pos="192"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Includes the vesting of 6,176 shares that were earned in connection with awards granted in fiscal 2016 for the three-year performance cycle award period ended September 30, 2018, based on actual relative total shareholder return of 200%.</w:t>
      </w:r>
    </w:p>
    <w:p>
      <w:pPr>
        <w:ind w:right="320" w:firstLine="8"/>
        <w:spacing w:after="0" w:line="250" w:lineRule="auto"/>
        <w:tabs>
          <w:tab w:leader="none" w:pos="192"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Includes 48,851 shares that were earned in connection with the fiscal 2018 and 2017 internal metrics awards granted to the Company's Chief Executive Officer for the performance period ended March 30, 2019, disclosed in this table at the target number of 100%. The fiscal 2018 and 2017 awards were certified by the Committee in May 2019 at 144.31% and 80.05%, respectively.</w:t>
      </w:r>
    </w:p>
    <w:p>
      <w:pPr>
        <w:spacing w:after="0" w:line="1" w:lineRule="exact"/>
        <w:rPr>
          <w:rFonts w:ascii="Arial" w:cs="Arial" w:eastAsia="Arial" w:hAnsi="Arial"/>
          <w:sz w:val="22"/>
          <w:szCs w:val="22"/>
          <w:color w:val="auto"/>
          <w:vertAlign w:val="superscript"/>
        </w:rPr>
      </w:pPr>
    </w:p>
    <w:p>
      <w:pPr>
        <w:ind w:right="100" w:firstLine="8"/>
        <w:spacing w:after="0" w:line="255" w:lineRule="auto"/>
        <w:tabs>
          <w:tab w:leader="none" w:pos="192"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Includes 65,525 shares that were earned for awards granted in fiscal 2017 for the performance period ended March 30, 2019, disclosed in this table at the target number of 100%. Shares earned under this award were certified by the Committee in April 2019 based on the actual relative total shareholder return of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-1113155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uses the Monte Carlo model to estimate the probability of satisfying the performance criteria and the resulting fair value of PSU awards with market conditions. The assumptions used in the Monte Carlo model for PSUs granted during each fiscal year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27.07%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1"/>
              </w:rPr>
              <w:t>26.11%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Peer group stock price volatility</w:t>
            </w:r>
          </w:p>
        </w:tc>
        <w:tc>
          <w:tcPr>
            <w:tcW w:w="600" w:type="dxa"/>
            <w:vAlign w:val="bottom"/>
          </w:tcPr>
          <w:p>
            <w:pPr>
              <w:jc w:val="right"/>
              <w:spacing w:after="0"/>
              <w:rPr>
                <w:sz w:val="20"/>
                <w:szCs w:val="20"/>
                <w:color w:val="auto"/>
              </w:rPr>
            </w:pPr>
            <w:r>
              <w:rPr>
                <w:rFonts w:ascii="Arial" w:cs="Arial" w:eastAsia="Arial" w:hAnsi="Arial"/>
                <w:sz w:val="18"/>
                <w:szCs w:val="18"/>
                <w:color w:val="auto"/>
                <w:w w:val="88"/>
              </w:rPr>
              <w:t>34.98%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w w:val="91"/>
              </w:rPr>
              <w:t>34.13%</w:t>
            </w:r>
          </w:p>
        </w:tc>
        <w:tc>
          <w:tcPr>
            <w:tcW w:w="1300" w:type="dxa"/>
            <w:vAlign w:val="bottom"/>
          </w:tcPr>
          <w:p>
            <w:pPr>
              <w:jc w:val="right"/>
              <w:spacing w:after="0"/>
              <w:rPr>
                <w:sz w:val="20"/>
                <w:szCs w:val="20"/>
                <w:color w:val="auto"/>
              </w:rPr>
            </w:pPr>
            <w:r>
              <w:rPr>
                <w:rFonts w:ascii="Arial" w:cs="Arial" w:eastAsia="Arial" w:hAnsi="Arial"/>
                <w:sz w:val="18"/>
                <w:szCs w:val="18"/>
                <w:color w:val="auto"/>
              </w:rPr>
              <w:t>33.86%</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Correlation of returns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47.57%</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1"/>
              </w:rPr>
              <w:t>49.51%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r>
      <w:tr>
        <w:trPr>
          <w:trHeight w:val="27"/>
        </w:trPr>
        <w:tc>
          <w:tcPr>
            <w:tcW w:w="6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PSUs granted and total fair value of PSUs vested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 per PSU</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34.07</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Fair value of PSUs vested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30, 2019, there was $11.7 million of total unrecognized compensation cost related to non-vested performance share units. This cost is expected to be recognized over a weighted average period of 1.9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an Employee Stock Purchase Plan (the “Purchase Plan”) under which a maximum of 3,200,000 shares (subject to adjustment for stock splits and similar changes) of common stock may be purchased by eligible employees. Substantially all of its full-time employees are eligible to participate in the Purchase Plan.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Purchase Plan provides for two “purchase periods” within each of its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values of shares purchased under the Employee Stock Purchase Plan are estimated using the Black-Scholes single option-pricing model with the following weighted 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life (months)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6</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weighted average grant date fair value of the six-month option inherent in the Purchase Plan was approximately $21.51, $9.66 and $7.79 during fiscal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ENTERPRISE-WIDE INFORMATION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operating segments are based primarily on geography. North America Plasma is a separate operating segment with dedicated segment management due to the size and scale of the Plasma business unit. It aggregates components within an operating segment that have similar economic characteristics.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36"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Japan</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EMEA</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49" w:lineRule="exact"/>
        <w:rPr>
          <w:rFonts w:ascii="Arial" w:cs="Arial" w:eastAsia="Arial" w:hAnsi="Arial"/>
          <w:sz w:val="18"/>
          <w:szCs w:val="18"/>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Other</w:t>
      </w:r>
    </w:p>
    <w:p>
      <w:pPr>
        <w:spacing w:after="0" w:line="2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has aggregated the Americas Blood Center and Hospital and Asia - Pacific operating segments into the All Other reportable segment based upon their similar operational and economic characteristics.</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measures and evaluates the operating segments based on operating income. It excludes certain corporate expenses from segment operating income. In addition, certain amounts that the Company considers to be non-recurring or non-operational are excluded from segment operating income because it evaluates the operating results of the segments excluding such items. These items include restructuring and turnaround costs, deal amortization, asset impairments, PCS2 accelerated depreciation and related costs and certain legal charges. Although these amounts are excluded from segment operating income, as applicable, they are included in the reconciliations that follow. The Company measures and evaluates its net revenues and operating income using internally derived standard currency exchange rates that remain constant from year to year; therefore, segment information is presented on this basis.</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fiscal 2019, the Company reorganized its operating segments such that certain immaterial components of EMEA are now reported as components of All Other. Accordingly, the prior year numbers have been updated to reflect this reclassification as well as other changes within the cost reporting structure that occurred in the first quarter of fiscal 2019. These changes did not have an impact on the Company's ability to aggregate Americas Blood Center and Hospital with Asia - Pacific.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Japan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70,227</w:t>
            </w:r>
          </w:p>
        </w:tc>
        <w:tc>
          <w:tcPr>
            <w:tcW w:w="60" w:type="dxa"/>
            <w:vAlign w:val="bottom"/>
          </w:tcPr>
          <w:p>
            <w:pPr>
              <w:spacing w:after="0"/>
              <w:rPr>
                <w:sz w:val="21"/>
                <w:szCs w:val="21"/>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68,172</w:t>
            </w:r>
          </w:p>
        </w:tc>
        <w:tc>
          <w:tcPr>
            <w:tcW w:w="60" w:type="dxa"/>
            <w:vAlign w:val="bottom"/>
          </w:tcPr>
          <w:p>
            <w:pPr>
              <w:spacing w:after="0"/>
              <w:rPr>
                <w:sz w:val="21"/>
                <w:szCs w:val="21"/>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74,695</w:t>
            </w:r>
          </w:p>
        </w:tc>
        <w:tc>
          <w:tcPr>
            <w:tcW w:w="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169,862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173,551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188,907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North America Plasma</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395,922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333,831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309,718</w:t>
            </w:r>
          </w:p>
        </w:tc>
        <w:tc>
          <w:tcPr>
            <w:tcW w:w="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337,054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333,763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326,260</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revenues before foreign exchange impact</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973,065</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909,317</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899,580</w:t>
            </w:r>
          </w:p>
        </w:tc>
        <w:tc>
          <w:tcPr>
            <w:tcW w:w="6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(13,464)</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967,579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903,923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886,116</w:t>
            </w:r>
          </w:p>
        </w:tc>
        <w:tc>
          <w:tcPr>
            <w:tcW w:w="60" w:type="dxa"/>
            <w:vAlign w:val="bottom"/>
            <w:tcBorders>
              <w:top w:val="single" w:sz="8" w:color="auto"/>
              <w:bottom w:val="single" w:sz="8" w:color="auto"/>
            </w:tcBorders>
          </w:tcPr>
          <w:p>
            <w:pPr>
              <w:spacing w:after="0"/>
              <w:rPr>
                <w:sz w:val="22"/>
                <w:szCs w:val="22"/>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86"/>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Japan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36,226</w:t>
            </w:r>
          </w:p>
        </w:tc>
        <w:tc>
          <w:tcPr>
            <w:tcW w:w="60" w:type="dxa"/>
            <w:vAlign w:val="bottom"/>
          </w:tcPr>
          <w:p>
            <w:pPr>
              <w:spacing w:after="0"/>
              <w:rPr>
                <w:sz w:val="21"/>
                <w:szCs w:val="21"/>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40,193</w:t>
            </w:r>
          </w:p>
        </w:tc>
        <w:tc>
          <w:tcPr>
            <w:tcW w:w="60" w:type="dxa"/>
            <w:vAlign w:val="bottom"/>
          </w:tcPr>
          <w:p>
            <w:pPr>
              <w:spacing w:after="0"/>
              <w:rPr>
                <w:sz w:val="21"/>
                <w:szCs w:val="21"/>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43,042</w:t>
            </w:r>
          </w:p>
        </w:tc>
        <w:tc>
          <w:tcPr>
            <w:tcW w:w="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49,730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68,897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74,878</w:t>
            </w:r>
          </w:p>
        </w:tc>
        <w:tc>
          <w:tcPr>
            <w:tcW w:w="60" w:type="dxa"/>
            <w:vAlign w:val="bottom"/>
          </w:tcPr>
          <w:p>
            <w:pPr>
              <w:spacing w:after="0"/>
              <w:rPr>
                <w:sz w:val="21"/>
                <w:szCs w:val="2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North America Plasma</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167,205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129,697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109,889</w:t>
            </w:r>
          </w:p>
        </w:tc>
        <w:tc>
          <w:tcPr>
            <w:tcW w:w="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141,070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140,623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141,427</w:t>
            </w:r>
          </w:p>
        </w:tc>
        <w:tc>
          <w:tcPr>
            <w:tcW w:w="60" w:type="dxa"/>
            <w:vAlign w:val="bottom"/>
          </w:tcPr>
          <w:p>
            <w:pPr>
              <w:spacing w:after="0"/>
              <w:rPr>
                <w:sz w:val="23"/>
                <w:szCs w:val="23"/>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394,231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379,410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369,236</w:t>
            </w:r>
          </w:p>
        </w:tc>
        <w:tc>
          <w:tcPr>
            <w:tcW w:w="6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Corporate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(237,568)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(252,222)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(249,048)</w:t>
            </w:r>
          </w:p>
        </w:tc>
        <w:tc>
          <w:tcPr>
            <w:tcW w:w="60" w:type="dxa"/>
            <w:vAlign w:val="bottom"/>
          </w:tcPr>
          <w:p>
            <w:pPr>
              <w:spacing w:after="0"/>
              <w:rPr>
                <w:sz w:val="21"/>
                <w:szCs w:val="21"/>
                <w:color w:val="auto"/>
              </w:rPr>
            </w:pPr>
          </w:p>
        </w:tc>
      </w:tr>
      <w:tr>
        <w:trPr>
          <w:trHeight w:val="243"/>
        </w:trPr>
        <w:tc>
          <w:tcPr>
            <w:tcW w:w="6740" w:type="dxa"/>
            <w:vAlign w:val="bottom"/>
            <w:gridSpan w:val="2"/>
          </w:tcPr>
          <w:p>
            <w:pPr>
              <w:ind w:left="120"/>
              <w:spacing w:after="0"/>
              <w:rPr>
                <w:sz w:val="20"/>
                <w:szCs w:val="20"/>
                <w:color w:val="auto"/>
              </w:rPr>
            </w:pPr>
            <w:r>
              <w:rPr>
                <w:rFonts w:ascii="Arial" w:cs="Arial" w:eastAsia="Arial" w:hAnsi="Arial"/>
                <w:sz w:val="18"/>
                <w:szCs w:val="18"/>
                <w:color w:val="auto"/>
              </w:rPr>
              <w:t>Effect of exchange rates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8,367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(4,772)</w:t>
            </w:r>
          </w:p>
        </w:tc>
        <w:tc>
          <w:tcPr>
            <w:tcW w:w="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and turnaround costs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(44,125)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(34,337)</w:t>
            </w:r>
          </w:p>
        </w:tc>
        <w:tc>
          <w:tcPr>
            <w:tcW w:w="60" w:type="dxa"/>
            <w:vAlign w:val="bottom"/>
          </w:tcPr>
          <w:p>
            <w:pPr>
              <w:spacing w:after="0"/>
              <w:rPr>
                <w:sz w:val="21"/>
                <w:szCs w:val="2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Deal amortization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(24,803)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(27,107)</w:t>
            </w:r>
          </w:p>
        </w:tc>
        <w:tc>
          <w:tcPr>
            <w:tcW w:w="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(73,353)</w:t>
            </w:r>
          </w:p>
        </w:tc>
        <w:tc>
          <w:tcPr>
            <w:tcW w:w="60" w:type="dxa"/>
            <w:vAlign w:val="bottom"/>
          </w:tcPr>
          <w:p>
            <w:pPr>
              <w:spacing w:after="0"/>
              <w:rPr>
                <w:sz w:val="21"/>
                <w:szCs w:val="2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Legal charges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PCS2 accelerated depreciation and related costs</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83,545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56,157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(19,381)</w:t>
            </w:r>
          </w:p>
        </w:tc>
        <w:tc>
          <w:tcPr>
            <w:tcW w:w="60" w:type="dxa"/>
            <w:vAlign w:val="bottom"/>
          </w:tcPr>
          <w:p>
            <w:pPr>
              <w:spacing w:after="0"/>
              <w:rPr>
                <w:sz w:val="22"/>
                <w:szCs w:val="22"/>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6" w:right="239" w:bottom="1440" w:gutter="0" w:footer="0" w:header="0"/>
          <w:type w:val="continuous"/>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39,497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16,060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65,248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68,237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71,629</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Total depreciation and amortization (excluding impairment charges)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109,418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89,247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89,733</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March 30,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26,660</w:t>
            </w:r>
          </w:p>
        </w:tc>
        <w:tc>
          <w:tcPr>
            <w:tcW w:w="120" w:type="dxa"/>
            <w:vAlign w:val="bottom"/>
          </w:tcPr>
          <w:p>
            <w:pPr>
              <w:spacing w:after="0"/>
              <w:rPr>
                <w:sz w:val="21"/>
                <w:szCs w:val="21"/>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26,640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21,412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71,048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74,783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63,854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113,921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91,815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142,164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132,350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138,918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96,432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Total long-lived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343,979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332,156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323,862</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4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Long-lived assets are comprised of property, plant and equipment.</w:t>
            </w: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72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4"/>
        </w:trPr>
        <w:tc>
          <w:tcPr>
            <w:tcW w:w="6720" w:type="dxa"/>
            <w:vAlign w:val="bottom"/>
          </w:tcPr>
          <w:p>
            <w:pPr>
              <w:spacing w:after="0"/>
              <w:rPr>
                <w:sz w:val="20"/>
                <w:szCs w:val="20"/>
                <w:color w:val="auto"/>
              </w:rPr>
            </w:pPr>
            <w:r>
              <w:rPr>
                <w:rFonts w:ascii="Arial" w:cs="Arial" w:eastAsia="Arial" w:hAnsi="Arial"/>
                <w:sz w:val="18"/>
                <w:szCs w:val="18"/>
                <w:color w:val="auto"/>
              </w:rPr>
              <w:t>Selected information by principle operating regions is presented below:</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5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606,845</w:t>
            </w:r>
          </w:p>
        </w:tc>
        <w:tc>
          <w:tcPr>
            <w:tcW w:w="36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548,731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522,686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67,319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164,504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164,226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166,007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115,127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109,858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8,299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967,579</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903,923</w:t>
            </w:r>
          </w:p>
        </w:tc>
        <w:tc>
          <w:tcPr>
            <w:tcW w:w="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886,116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269,849</w:t>
            </w:r>
          </w:p>
        </w:tc>
        <w:tc>
          <w:tcPr>
            <w:tcW w:w="36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236,603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241,610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13,696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30,274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43,915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long-lived assets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343,979</w:t>
            </w:r>
          </w:p>
        </w:tc>
        <w:tc>
          <w:tcPr>
            <w:tcW w:w="3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332,156</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323,862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Long-lived assets are comprised of property, plant and equipment.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products are organized into three categories for purposes of evaluating their growth potential: Plasma, Blood Center and Hospital.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reviews revenue trends based on these business units.</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126" w:right="29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business unit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501,837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435,956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410,727</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269,203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284,902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303,890</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196,539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183,065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171,499</w:t>
            </w:r>
          </w:p>
        </w:tc>
      </w:tr>
      <w:tr>
        <w:trPr>
          <w:trHeight w:val="25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967,579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903,923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886,116</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is a roll-forward of the components of accumulated other comprehensive loss, net of tax, for the years ended March 30, 2019 and March 31,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Foreign currency</w:t>
            </w:r>
          </w:p>
        </w:tc>
        <w:tc>
          <w:tcPr>
            <w:tcW w:w="100" w:type="dxa"/>
            <w:vAlign w:val="bottom"/>
            <w:vMerge w:val="restart"/>
          </w:tcPr>
          <w:p>
            <w:pPr>
              <w:spacing w:after="0"/>
              <w:rPr>
                <w:sz w:val="12"/>
                <w:szCs w:val="12"/>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Defined benefit plans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2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April 1, 2017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(29,835)</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(32,873)</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13,028</w:t>
            </w:r>
          </w:p>
        </w:tc>
        <w:tc>
          <w:tcPr>
            <w:tcW w:w="0" w:type="dxa"/>
            <w:vAlign w:val="bottom"/>
          </w:tcPr>
          <w:p>
            <w:pPr>
              <w:spacing w:after="0"/>
              <w:rPr>
                <w:sz w:val="1"/>
                <w:szCs w:val="1"/>
                <w:color w:val="auto"/>
              </w:rPr>
            </w:pPr>
          </w:p>
        </w:tc>
      </w:tr>
      <w:tr>
        <w:trPr>
          <w:trHeight w:val="270"/>
        </w:trPr>
        <w:tc>
          <w:tcPr>
            <w:tcW w:w="56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Amounts reclassified from accumulated other comprehensive loss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64"/>
        </w:trPr>
        <w:tc>
          <w:tcPr>
            <w:tcW w:w="56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37"/>
        </w:trPr>
        <w:tc>
          <w:tcPr>
            <w:tcW w:w="56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March 31,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(18,991)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0" w:type="dxa"/>
            <w:vAlign w:val="bottom"/>
          </w:tcPr>
          <w:p>
            <w:pPr>
              <w:spacing w:after="0"/>
              <w:rPr>
                <w:sz w:val="1"/>
                <w:szCs w:val="1"/>
                <w:color w:val="auto"/>
              </w:rPr>
            </w:pPr>
          </w:p>
        </w:tc>
      </w:tr>
      <w:tr>
        <w:trPr>
          <w:trHeight w:val="270"/>
        </w:trPr>
        <w:tc>
          <w:tcPr>
            <w:tcW w:w="56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Amounts reclassified from accumulated other comprehensive loss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64"/>
        </w:trPr>
        <w:tc>
          <w:tcPr>
            <w:tcW w:w="56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50"/>
        </w:trPr>
        <w:tc>
          <w:tcPr>
            <w:tcW w:w="56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March 30,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(25,513)</w:t>
            </w:r>
          </w:p>
        </w:tc>
        <w:tc>
          <w:tcPr>
            <w:tcW w:w="100" w:type="dxa"/>
            <w:vAlign w:val="bottom"/>
          </w:tcPr>
          <w:p>
            <w:pPr>
              <w:spacing w:after="0"/>
              <w:rPr>
                <w:sz w:val="21"/>
                <w:szCs w:val="21"/>
                <w:color w:val="auto"/>
              </w:rPr>
            </w:pPr>
          </w:p>
        </w:tc>
        <w:tc>
          <w:tcPr>
            <w:tcW w:w="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(4,340)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8890</wp:posOffset>
            </wp:positionV>
            <wp:extent cx="3679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15" w:lineRule="exact"/>
        <w:rPr>
          <w:sz w:val="20"/>
          <w:szCs w:val="20"/>
          <w:color w:val="auto"/>
        </w:rPr>
      </w:pPr>
    </w:p>
    <w:p>
      <w:pPr>
        <w:ind w:left="160" w:hanging="125"/>
        <w:spacing w:after="0"/>
        <w:tabs>
          <w:tab w:leader="none" w:pos="160" w:val="left"/>
        </w:tabs>
        <w:numPr>
          <w:ilvl w:val="0"/>
          <w:numId w:val="25"/>
        </w:numPr>
        <w:rPr>
          <w:rFonts w:ascii="Arial" w:cs="Arial" w:eastAsia="Arial" w:hAnsi="Arial"/>
          <w:sz w:val="9"/>
          <w:szCs w:val="9"/>
          <w:color w:val="auto"/>
        </w:rPr>
      </w:pPr>
      <w:r>
        <w:rPr>
          <w:rFonts w:ascii="Arial" w:cs="Arial" w:eastAsia="Arial" w:hAnsi="Arial"/>
          <w:sz w:val="14"/>
          <w:szCs w:val="14"/>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-98425</wp:posOffset>
            </wp:positionV>
            <wp:extent cx="3679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6" w:right="25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SUMMARY OF QUARTERLY DATA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2019</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229,347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241,581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247,356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249,295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111,210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26,076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28,320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23,856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20,835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2018</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233,552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91,665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104,562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111,295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104,386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14,275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20,137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20,102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operating results for the fourth quarter of fiscal 2018 include certain misstatements that were determined to be immaterial both individually and in the aggregate. The misstatement in the fourth quarter of fiscal 2018 was primarily driven by an over accrual of certain professional fees in the third quarter of fiscal 2018.</w:t>
      </w:r>
    </w:p>
    <w:p>
      <w:pPr>
        <w:spacing w:after="0" w:line="181"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Below is a summary of the net overstatement/(understatement) of the Company’s reported operating income and net income for the fourth quarter of fiscal 2018.</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3060" w:type="dxa"/>
            <w:vAlign w:val="bottom"/>
            <w:gridSpan w:val="3"/>
          </w:tcPr>
          <w:p>
            <w:pPr>
              <w:ind w:left="520"/>
              <w:spacing w:after="0"/>
              <w:rPr>
                <w:sz w:val="20"/>
                <w:szCs w:val="20"/>
                <w:color w:val="auto"/>
              </w:rPr>
            </w:pPr>
            <w:r>
              <w:rPr>
                <w:rFonts w:ascii="Arial" w:cs="Arial" w:eastAsia="Arial" w:hAnsi="Arial"/>
                <w:sz w:val="14"/>
                <w:szCs w:val="14"/>
                <w:b w:val="1"/>
                <w:bCs w:val="1"/>
                <w:color w:val="auto"/>
              </w:rPr>
              <w:t>Overstatement/(Understatement)</w:t>
            </w:r>
          </w:p>
        </w:tc>
        <w:tc>
          <w:tcPr>
            <w:tcW w:w="0" w:type="dxa"/>
            <w:vAlign w:val="bottom"/>
          </w:tcPr>
          <w:p>
            <w:pPr>
              <w:spacing w:after="0"/>
              <w:rPr>
                <w:sz w:val="1"/>
                <w:szCs w:val="1"/>
                <w:color w:val="auto"/>
              </w:rPr>
            </w:pPr>
          </w:p>
        </w:tc>
      </w:tr>
      <w:tr>
        <w:trPr>
          <w:trHeight w:val="165"/>
        </w:trPr>
        <w:tc>
          <w:tcPr>
            <w:tcW w:w="8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vMerge w:val="restart"/>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Operating (Loss)</w:t>
            </w:r>
          </w:p>
        </w:tc>
        <w:tc>
          <w:tcPr>
            <w:tcW w:w="1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Net (Loss) Income</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4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2,835</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May 21, 2019, we transferred to CSL Plasma Inc. (“CSL”) substantially all of the tangible assets held by Haemonetics relating to the manufacture of anti-coagulant and saline (together, “Liquids”) at our Union, South Carolina facility (“Union”), which consist primarily of property, plant and equipment and inventory, and CSL assumed certain related liabilities pursuant to the terms of a settlement, release and asset transfer agreement (the “Asset Transfer”) between the parties dated May 13, 2019. The Asset Transfer excludes all other assets related to Union, including accounts receivable, customer contracts and our U.S. Food and Drug Administration (“FDA”) product approvals for manufacturing Liquids.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closing, Haemonetics received approximately $10 million of proceeds for the Asset Transfer and were concurrently released from our obligations to supply Liquids under a 2014 supply agreement with CSL. In connection with the Asset Transfer, CSL and Haemonetics also entered into related transition services, supply and manufacturing services and quality agreements (the “Transition Agreements”) that, among other things, permit CSL to manufacture Liquids under our FDA product approvals,</w:t>
      </w:r>
    </w:p>
    <w:p>
      <w:pPr>
        <w:sectPr>
          <w:pgSz w:w="11900" w:h="16838" w:orient="portrait"/>
          <w:cols w:equalWidth="0" w:num="1">
            <w:col w:w="11420"/>
          </w:cols>
          <w:pgMar w:left="240" w:top="12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6" w:right="239" w:bottom="1440" w:gutter="0" w:footer="0" w:header="0"/>
          <w:type w:val="continuous"/>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exclusively for Haemonetics and CSL, until CSL obtains separate product approvals to manufacture the Liquids from the FDA. CSL also agreed to extend offers of employment to substantially all employees of Haemonetics located at the Union facility.</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will continue to supply Liquids to our customers following the Asset Transfer pursuant to our supplier arrangements with contract manufacturers. We expect that cost savings generated from the Asset Transfer, including the release from our Liquids supply obligations under the 2014 supply agreement with CSL, will be reallocated to general corporate purposes.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our entry into the Agreement, we classified the Union assets and liabilities related to the Asset Transfer under the Agreement as held-for-sale in our consolidated financial statements for the first quarter of fiscal 2020 prior to the closing of the Asset Transfer. Accordingly, we recorded these assets and liabilities at fair value, less estimated sales costs. Such assets and liabilities were previously classified as held-and-used as of March 30, 2019 and determined to be recoverable when evaluated within the broader North America Plasma asset group that is profitable. As a result of the classification as held-for-sale, we recognized a pre-tax impairment charge of approximately $49 million in the first quarter of fiscal 2020, primarily related to the carrying balances of the property, plant and equipment exceeding the consideration received under the terms of the Agreement. The charge will not result in any future cash expenditures.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that date, our disclosure controls and procedures were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on Internal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Annual Report on Internal Control over Financial Reporting</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15d-15(f). The Company’s internal control system was designed to provide reasonable assurance to the Company’s management and Board of Directors regarding the preparation and fair presentation of published financial statements.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assessed the effectiveness of its internal control over financial reporting as of March 30, 2019. In making this assessment, the management used the criteria set forth by the Committee of Sponsoring Organizations of the Treadway Commission (COSO) in Internal Control-Integrated Framework (2013 framework). Based on our assessment, the Company's management believes that its internal controls over financial reporting were effective as of March 30, 2019.</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This report, in which they expressed an unqualified opinion, is included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30, 2019 that have materially affected, or are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6" w:right="25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Haemonetics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Haemonetics Corporation and subsidiaries’ internal control over financial reporting as of March 30, 2019, based on criteria established in Internal Control-Integrated Framework issued by the Committee of Sponsoring Organizations of the Treadway Commission (2013 framework) (the COSO criteria). In our opinion, Haemonetics Corporation and subsidiaries (the Company) maintained, in all material respects, effective internal control over financial reporting as of March 30, 2019, based on the COSO criteria</w:t>
      </w:r>
      <w:r>
        <w:rPr>
          <w:rFonts w:ascii="Arial" w:cs="Arial" w:eastAsia="Arial" w:hAnsi="Arial"/>
          <w:sz w:val="18"/>
          <w:szCs w:val="18"/>
          <w:b w:val="1"/>
          <w:bCs w:val="1"/>
          <w:color w:val="auto"/>
        </w:rPr>
        <w: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2019 consolidated financial statements of the Company and our report dated May 22, 2019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have adopted a Code of Ethics that applies to our Chief Executive Officer, Chief Financial Officer and senior financial officers. The Code of Ethics is incorporated into the Company’s Code of Conduct located on the Company’s website </w:t>
      </w:r>
      <w:r>
        <w:rPr>
          <w:rFonts w:ascii="Arial" w:cs="Arial" w:eastAsia="Arial" w:hAnsi="Arial"/>
          <w:sz w:val="17"/>
          <w:szCs w:val="17"/>
          <w:i w:val="1"/>
          <w:iCs w:val="1"/>
          <w:color w:val="auto"/>
        </w:rPr>
        <w:t>www.haemonetics.com</w:t>
      </w:r>
      <w:r>
        <w:rPr>
          <w:rFonts w:ascii="Arial" w:cs="Arial" w:eastAsia="Arial" w:hAnsi="Arial"/>
          <w:sz w:val="17"/>
          <w:szCs w:val="17"/>
          <w:color w:val="auto"/>
        </w:rPr>
        <w:t>, under the “About Haemonetics” menu, under the “Investor Relations Home” caption and under the “Corporate Governance” sub-caption. A copy of the Code of Conduct will be provided free of charge by making a written request and mailing it to our corporate headquarters offices to the attention of our Investor Relations Department. Any amendments to, or waivers from, a provision of our Code of Ethics that applies to our Chief Executive Officer, Chief Financial Officer or senior financial officers will be disclosed on the Company’s website promptly following the date of such amendment or waiver.</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additional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 Notwithstanding the foregoing, the Compensation Committee Report included within the Proxy Statement is only being “furnished” hereunder and shall not be deemed “filed” for purposes of Section 18 of the Securities Exchange Act of 1934.</w:t>
      </w:r>
    </w:p>
    <w:p>
      <w:pPr>
        <w:spacing w:after="0" w:line="183"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INDEPEDENCE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30" w:right="25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A)</w:t>
            </w:r>
          </w:p>
        </w:tc>
        <w:tc>
          <w:tcPr>
            <w:tcW w:w="10640" w:type="dxa"/>
            <w:vAlign w:val="bottom"/>
            <w:gridSpan w:val="9"/>
          </w:tcPr>
          <w:p>
            <w:pPr>
              <w:ind w:left="320"/>
              <w:spacing w:after="0"/>
              <w:rPr>
                <w:sz w:val="20"/>
                <w:szCs w:val="20"/>
                <w:color w:val="auto"/>
              </w:rPr>
            </w:pPr>
            <w:r>
              <w:rPr>
                <w:rFonts w:ascii="Arial" w:cs="Arial" w:eastAsia="Arial" w:hAnsi="Arial"/>
                <w:sz w:val="18"/>
                <w:szCs w:val="18"/>
                <w:b w:val="1"/>
                <w:bCs w:val="1"/>
                <w:color w:val="auto"/>
              </w:rPr>
              <w:t>Financial Statements are included in Part II of this report</w:t>
            </w:r>
          </w:p>
        </w:tc>
        <w:tc>
          <w:tcPr>
            <w:tcW w:w="180" w:type="dxa"/>
            <w:vAlign w:val="bottom"/>
          </w:tcPr>
          <w:p>
            <w:pPr>
              <w:spacing w:after="0"/>
              <w:rPr>
                <w:sz w:val="20"/>
                <w:szCs w:val="20"/>
                <w:color w:val="auto"/>
              </w:rPr>
            </w:pPr>
          </w:p>
        </w:tc>
      </w:tr>
      <w:tr>
        <w:trPr>
          <w:trHeight w:val="392"/>
        </w:trPr>
        <w:tc>
          <w:tcPr>
            <w:tcW w:w="11160" w:type="dxa"/>
            <w:vAlign w:val="bottom"/>
            <w:gridSpan w:val="11"/>
          </w:tcPr>
          <w:p>
            <w:pPr>
              <w:ind w:left="40"/>
              <w:spacing w:after="0"/>
              <w:rPr>
                <w:sz w:val="20"/>
                <w:szCs w:val="20"/>
                <w:color w:val="auto"/>
              </w:rPr>
            </w:pPr>
            <w:r>
              <w:rPr>
                <w:rFonts w:ascii="Arial" w:cs="Arial" w:eastAsia="Arial" w:hAnsi="Arial"/>
                <w:sz w:val="18"/>
                <w:szCs w:val="18"/>
                <w:color w:val="auto"/>
              </w:rPr>
              <w:t>Financial Statements required by Item 8 of this Form</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1098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250"/>
        </w:trPr>
        <w:tc>
          <w:tcPr>
            <w:tcW w:w="180" w:type="dxa"/>
            <w:vAlign w:val="bottom"/>
          </w:tcPr>
          <w:p>
            <w:pPr>
              <w:spacing w:after="0"/>
              <w:rPr>
                <w:sz w:val="21"/>
                <w:szCs w:val="21"/>
                <w:color w:val="auto"/>
              </w:rPr>
            </w:pPr>
          </w:p>
        </w:tc>
        <w:tc>
          <w:tcPr>
            <w:tcW w:w="30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Income (Loss)</w:t>
              </w:r>
            </w:hyperlink>
          </w:p>
        </w:tc>
        <w:tc>
          <w:tcPr>
            <w:tcW w:w="1140" w:type="dxa"/>
            <w:vAlign w:val="bottom"/>
            <w:tcBorders>
              <w:top w:val="single" w:sz="8" w:color="0000EE"/>
            </w:tcBorders>
            <w:gridSpan w:val="3"/>
          </w:tcPr>
          <w:p>
            <w:pPr>
              <w:spacing w:after="0"/>
              <w:rPr>
                <w:sz w:val="21"/>
                <w:szCs w:val="21"/>
                <w:color w:val="auto"/>
              </w:rPr>
            </w:pPr>
          </w:p>
        </w:tc>
        <w:tc>
          <w:tcPr>
            <w:tcW w:w="678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250"/>
        </w:trPr>
        <w:tc>
          <w:tcPr>
            <w:tcW w:w="180" w:type="dxa"/>
            <w:vAlign w:val="bottom"/>
          </w:tcPr>
          <w:p>
            <w:pPr>
              <w:spacing w:after="0"/>
              <w:rPr>
                <w:sz w:val="21"/>
                <w:szCs w:val="21"/>
                <w:color w:val="auto"/>
              </w:rPr>
            </w:pPr>
          </w:p>
        </w:tc>
        <w:tc>
          <w:tcPr>
            <w:tcW w:w="42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Comprehensive Income (Loss)</w:t>
              </w:r>
            </w:hyperlink>
          </w:p>
        </w:tc>
        <w:tc>
          <w:tcPr>
            <w:tcW w:w="674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250"/>
        </w:trPr>
        <w:tc>
          <w:tcPr>
            <w:tcW w:w="180" w:type="dxa"/>
            <w:vAlign w:val="bottom"/>
          </w:tcPr>
          <w:p>
            <w:pPr>
              <w:spacing w:after="0"/>
              <w:rPr>
                <w:sz w:val="21"/>
                <w:szCs w:val="21"/>
                <w:color w:val="auto"/>
              </w:rPr>
            </w:pPr>
          </w:p>
        </w:tc>
        <w:tc>
          <w:tcPr>
            <w:tcW w:w="20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Balance Sheets</w:t>
              </w:r>
            </w:hyperlink>
          </w:p>
        </w:tc>
        <w:tc>
          <w:tcPr>
            <w:tcW w:w="8900" w:type="dxa"/>
            <w:vAlign w:val="bottom"/>
            <w:gridSpan w:val="8"/>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45</w:t>
              </w:r>
            </w:hyperlink>
          </w:p>
        </w:tc>
      </w:tr>
      <w:tr>
        <w:trPr>
          <w:trHeight w:val="250"/>
        </w:trPr>
        <w:tc>
          <w:tcPr>
            <w:tcW w:w="180" w:type="dxa"/>
            <w:vAlign w:val="bottom"/>
          </w:tcPr>
          <w:p>
            <w:pPr>
              <w:spacing w:after="0"/>
              <w:rPr>
                <w:sz w:val="21"/>
                <w:szCs w:val="21"/>
                <w:color w:val="auto"/>
              </w:rPr>
            </w:pPr>
          </w:p>
        </w:tc>
        <w:tc>
          <w:tcPr>
            <w:tcW w:w="35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 xml:space="preserve">Consolidated Statements of Stockholders’ </w:t>
              </w:r>
            </w:hyperlink>
            <w:r>
              <w:rPr>
                <w:rFonts w:ascii="Arial" w:cs="Arial" w:eastAsia="Arial" w:hAnsi="Arial"/>
                <w:sz w:val="18"/>
                <w:szCs w:val="18"/>
                <w:color w:val="0000FF"/>
                <w:w w:val="90"/>
              </w:rPr>
              <w:t>Equity</w:t>
            </w:r>
          </w:p>
        </w:tc>
        <w:tc>
          <w:tcPr>
            <w:tcW w:w="744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46</w:t>
              </w:r>
            </w:hyperlink>
          </w:p>
        </w:tc>
      </w:tr>
      <w:tr>
        <w:trPr>
          <w:trHeight w:val="250"/>
        </w:trPr>
        <w:tc>
          <w:tcPr>
            <w:tcW w:w="180" w:type="dxa"/>
            <w:vAlign w:val="bottom"/>
          </w:tcPr>
          <w:p>
            <w:pPr>
              <w:spacing w:after="0"/>
              <w:rPr>
                <w:sz w:val="21"/>
                <w:szCs w:val="21"/>
                <w:color w:val="auto"/>
              </w:rPr>
            </w:pPr>
          </w:p>
        </w:tc>
        <w:tc>
          <w:tcPr>
            <w:tcW w:w="28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Statements of Cash Flows</w:t>
              </w:r>
            </w:hyperlink>
          </w:p>
        </w:tc>
        <w:tc>
          <w:tcPr>
            <w:tcW w:w="8120" w:type="dxa"/>
            <w:vAlign w:val="bottom"/>
            <w:gridSpan w:val="6"/>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47</w:t>
              </w:r>
            </w:hyperlink>
          </w:p>
        </w:tc>
      </w:tr>
      <w:tr>
        <w:trPr>
          <w:trHeight w:val="250"/>
        </w:trPr>
        <w:tc>
          <w:tcPr>
            <w:tcW w:w="180" w:type="dxa"/>
            <w:vAlign w:val="bottom"/>
          </w:tcPr>
          <w:p>
            <w:pPr>
              <w:spacing w:after="0"/>
              <w:rPr>
                <w:sz w:val="21"/>
                <w:szCs w:val="21"/>
                <w:color w:val="auto"/>
              </w:rPr>
            </w:pPr>
          </w:p>
        </w:tc>
        <w:tc>
          <w:tcPr>
            <w:tcW w:w="31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784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r>
      <w:tr>
        <w:trPr>
          <w:trHeight w:val="291"/>
        </w:trPr>
        <w:tc>
          <w:tcPr>
            <w:tcW w:w="11160" w:type="dxa"/>
            <w:vAlign w:val="bottom"/>
            <w:gridSpan w:val="11"/>
          </w:tcPr>
          <w:p>
            <w:pPr>
              <w:spacing w:after="0"/>
              <w:rPr>
                <w:sz w:val="20"/>
                <w:szCs w:val="20"/>
                <w:color w:val="auto"/>
              </w:rPr>
            </w:pPr>
            <w:r>
              <w:rPr>
                <w:rFonts w:ascii="Arial" w:cs="Arial" w:eastAsia="Arial" w:hAnsi="Arial"/>
                <w:sz w:val="18"/>
                <w:szCs w:val="18"/>
                <w:color w:val="auto"/>
              </w:rPr>
              <w:t>Schedules required by Article 12 of Regulation S-X</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27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II Valuation and Qualifying Accounts</w:t>
              </w:r>
            </w:hyperlink>
          </w:p>
        </w:tc>
        <w:tc>
          <w:tcPr>
            <w:tcW w:w="8280" w:type="dxa"/>
            <w:vAlign w:val="bottom"/>
            <w:gridSpan w:val="7"/>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95</w:t>
              </w:r>
            </w:hyperlink>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have been omitted because they are not applicable or not required.</w:t>
      </w:r>
    </w:p>
    <w:p>
      <w:pPr>
        <w:spacing w:after="0" w:line="154" w:lineRule="exact"/>
        <w:rPr>
          <w:sz w:val="20"/>
          <w:szCs w:val="20"/>
          <w:color w:val="auto"/>
        </w:rPr>
      </w:pPr>
    </w:p>
    <w:p>
      <w:pPr>
        <w:ind w:left="840" w:hanging="832"/>
        <w:spacing w:after="0"/>
        <w:tabs>
          <w:tab w:leader="none" w:pos="84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Exhibits required by Item 601 of Regulation S-K are listed in the Exhibit Index beginning at page 91, which is incorporated herein by</w:t>
      </w:r>
    </w:p>
    <w:p>
      <w:pPr>
        <w:spacing w:after="0" w:line="7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reference.</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130" w:right="31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1940"/>
              <w:spacing w:after="0"/>
              <w:rPr>
                <w:sz w:val="20"/>
                <w:szCs w:val="20"/>
                <w:color w:val="auto"/>
              </w:rPr>
            </w:pPr>
            <w:r>
              <w:rPr>
                <w:rFonts w:ascii="Arial" w:cs="Arial" w:eastAsia="Arial" w:hAnsi="Arial"/>
                <w:sz w:val="18"/>
                <w:szCs w:val="18"/>
                <w:b w:val="1"/>
                <w:bCs w:val="1"/>
                <w:color w:val="auto"/>
              </w:rPr>
              <w:t>EXHIBITS FILED WITH SECURITIES AND EXCHANGE COMMISSION</w:t>
            </w:r>
          </w:p>
        </w:tc>
      </w:tr>
      <w:tr>
        <w:trPr>
          <w:trHeight w:val="338"/>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20" w:type="dxa"/>
            <w:vAlign w:val="bottom"/>
          </w:tcPr>
          <w:p>
            <w:pPr>
              <w:ind w:left="3560"/>
              <w:spacing w:after="0"/>
              <w:rPr>
                <w:sz w:val="20"/>
                <w:szCs w:val="20"/>
                <w:color w:val="auto"/>
              </w:rPr>
            </w:pPr>
            <w:r>
              <w:rPr>
                <w:rFonts w:ascii="Arial" w:cs="Arial" w:eastAsia="Arial" w:hAnsi="Arial"/>
                <w:sz w:val="18"/>
                <w:szCs w:val="18"/>
                <w:b w:val="1"/>
                <w:bCs w:val="1"/>
                <w:color w:val="auto"/>
              </w:rPr>
              <w:t>Number and Description of Exhibit</w:t>
            </w:r>
          </w:p>
        </w:tc>
      </w:tr>
      <w:tr>
        <w:trPr>
          <w:trHeight w:val="378"/>
        </w:trPr>
        <w:tc>
          <w:tcPr>
            <w:tcW w:w="11280" w:type="dxa"/>
            <w:vAlign w:val="bottom"/>
            <w:gridSpan w:val="7"/>
          </w:tcPr>
          <w:p>
            <w:pPr>
              <w:spacing w:after="0"/>
              <w:rPr>
                <w:sz w:val="20"/>
                <w:szCs w:val="20"/>
                <w:color w:val="auto"/>
              </w:rPr>
            </w:pPr>
            <w:r>
              <w:rPr>
                <w:rFonts w:ascii="Arial" w:cs="Arial" w:eastAsia="Arial" w:hAnsi="Arial"/>
                <w:sz w:val="18"/>
                <w:szCs w:val="18"/>
                <w:b w:val="1"/>
                <w:bCs w:val="1"/>
                <w:color w:val="auto"/>
              </w:rPr>
              <w:t>1. Articles of Organization</w:t>
            </w:r>
          </w:p>
        </w:tc>
      </w:tr>
      <w:tr>
        <w:trPr>
          <w:trHeight w:val="230"/>
        </w:trPr>
        <w:tc>
          <w:tcPr>
            <w:tcW w:w="760" w:type="dxa"/>
            <w:vAlign w:val="bottom"/>
            <w:gridSpan w:val="6"/>
          </w:tcPr>
          <w:p>
            <w:pPr>
              <w:spacing w:after="0"/>
              <w:rPr>
                <w:rFonts w:ascii="Arial" w:cs="Arial" w:eastAsia="Arial" w:hAnsi="Arial"/>
                <w:sz w:val="18"/>
                <w:szCs w:val="18"/>
                <w:color w:val="0000FF"/>
              </w:rPr>
            </w:pPr>
            <w:hyperlink r:id="rId15">
              <w:r>
                <w:rPr>
                  <w:rFonts w:ascii="Arial" w:cs="Arial" w:eastAsia="Arial" w:hAnsi="Arial"/>
                  <w:sz w:val="18"/>
                  <w:szCs w:val="18"/>
                  <w:color w:val="0000FF"/>
                </w:rPr>
                <w:t>3A*</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Restated Articles of Organization of Haemonetics Corporation, reflecting Articles of Amendment dated August 23, 1993, August 21, 2006</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and July 26, 2018 (filed as Exhibit 3.1 to the Company's Form 8-K dated July 31, 2018 and incorporated herein 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16">
              <w:r>
                <w:rPr>
                  <w:rFonts w:ascii="Arial" w:cs="Arial" w:eastAsia="Arial" w:hAnsi="Arial"/>
                  <w:sz w:val="18"/>
                  <w:szCs w:val="18"/>
                  <w:color w:val="0000FF"/>
                </w:rPr>
                <w:t>3B*</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By-Laws of the Company, as amended through July 26, 2018 (filed as Exhibit 3.3 to the Company's Form 8-K dated July 31, 2018 and</w:t>
            </w:r>
          </w:p>
        </w:tc>
      </w:tr>
      <w:tr>
        <w:trPr>
          <w:trHeight w:val="237"/>
        </w:trPr>
        <w:tc>
          <w:tcPr>
            <w:tcW w:w="3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567"/>
        </w:trPr>
        <w:tc>
          <w:tcPr>
            <w:tcW w:w="11280" w:type="dxa"/>
            <w:vAlign w:val="bottom"/>
            <w:gridSpan w:val="7"/>
          </w:tcPr>
          <w:p>
            <w:pPr>
              <w:spacing w:after="0"/>
              <w:rPr>
                <w:sz w:val="20"/>
                <w:szCs w:val="20"/>
                <w:color w:val="auto"/>
              </w:rPr>
            </w:pPr>
            <w:r>
              <w:rPr>
                <w:rFonts w:ascii="Arial" w:cs="Arial" w:eastAsia="Arial" w:hAnsi="Arial"/>
                <w:sz w:val="18"/>
                <w:szCs w:val="18"/>
                <w:b w:val="1"/>
                <w:bCs w:val="1"/>
                <w:color w:val="auto"/>
              </w:rPr>
              <w:t>2. Instruments Defining the Rights of Security Holders</w:t>
            </w:r>
          </w:p>
        </w:tc>
      </w:tr>
      <w:tr>
        <w:trPr>
          <w:trHeight w:val="256"/>
        </w:trPr>
        <w:tc>
          <w:tcPr>
            <w:tcW w:w="760" w:type="dxa"/>
            <w:vAlign w:val="bottom"/>
            <w:gridSpan w:val="6"/>
          </w:tcPr>
          <w:p>
            <w:pPr>
              <w:spacing w:after="0"/>
              <w:rPr>
                <w:sz w:val="20"/>
                <w:szCs w:val="20"/>
                <w:color w:val="auto"/>
              </w:rPr>
            </w:pPr>
            <w:r>
              <w:rPr>
                <w:rFonts w:ascii="Arial" w:cs="Arial" w:eastAsia="Arial" w:hAnsi="Arial"/>
                <w:sz w:val="18"/>
                <w:szCs w:val="18"/>
                <w:color w:val="auto"/>
              </w:rPr>
              <w:t>4A*</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Specimen certificate for shares of common stock (filed as Exhibit 4B to the Company's Amendment No. 1 to Form S-1 No. 33-39490 and</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554"/>
        </w:trPr>
        <w:tc>
          <w:tcPr>
            <w:tcW w:w="11280" w:type="dxa"/>
            <w:vAlign w:val="bottom"/>
            <w:gridSpan w:val="7"/>
          </w:tcPr>
          <w:p>
            <w:pPr>
              <w:spacing w:after="0"/>
              <w:rPr>
                <w:sz w:val="20"/>
                <w:szCs w:val="20"/>
                <w:color w:val="auto"/>
              </w:rPr>
            </w:pPr>
            <w:r>
              <w:rPr>
                <w:rFonts w:ascii="Arial" w:cs="Arial" w:eastAsia="Arial" w:hAnsi="Arial"/>
                <w:sz w:val="18"/>
                <w:szCs w:val="18"/>
                <w:b w:val="1"/>
                <w:bCs w:val="1"/>
                <w:color w:val="auto"/>
              </w:rPr>
              <w:t>3. Material Contracts</w:t>
            </w:r>
          </w:p>
        </w:tc>
      </w:tr>
      <w:tr>
        <w:trPr>
          <w:trHeight w:val="256"/>
        </w:trPr>
        <w:tc>
          <w:tcPr>
            <w:tcW w:w="760" w:type="dxa"/>
            <w:vAlign w:val="bottom"/>
            <w:gridSpan w:val="6"/>
          </w:tcPr>
          <w:p>
            <w:pPr>
              <w:spacing w:after="0"/>
              <w:rPr>
                <w:sz w:val="20"/>
                <w:szCs w:val="20"/>
                <w:color w:val="auto"/>
              </w:rPr>
            </w:pPr>
            <w:r>
              <w:rPr>
                <w:rFonts w:ascii="Arial" w:cs="Arial" w:eastAsia="Arial" w:hAnsi="Arial"/>
                <w:sz w:val="18"/>
                <w:szCs w:val="18"/>
                <w:color w:val="auto"/>
              </w:rPr>
              <w:t>10A*</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Lease dated July 17, 1990 between the Buncher Company and the Company of property in Pittsburgh, Pennsylvania (filed as Exhibit 10-K</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to the Company's Form S-1 No. 33-39490 and incorporated herein by reference).</w:t>
            </w:r>
          </w:p>
        </w:tc>
      </w:tr>
      <w:tr>
        <w:trPr>
          <w:trHeight w:val="256"/>
        </w:trPr>
        <w:tc>
          <w:tcPr>
            <w:tcW w:w="760" w:type="dxa"/>
            <w:vAlign w:val="bottom"/>
            <w:gridSpan w:val="6"/>
          </w:tcPr>
          <w:p>
            <w:pPr>
              <w:spacing w:after="0"/>
              <w:rPr>
                <w:sz w:val="20"/>
                <w:szCs w:val="20"/>
                <w:color w:val="auto"/>
              </w:rPr>
            </w:pPr>
            <w:r>
              <w:rPr>
                <w:rFonts w:ascii="Arial" w:cs="Arial" w:eastAsia="Arial" w:hAnsi="Arial"/>
                <w:sz w:val="18"/>
                <w:szCs w:val="18"/>
                <w:color w:val="auto"/>
              </w:rPr>
              <w:t>10B*</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First Amendment to lease dated July 17, 1990, made as of April 30, 1991 between Buncher Company and the Company of property in</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Pittsburgh, Pennsylvania (filed as Exhibit 10AI to the Company's Form 10-Q for the quarter ended December 28, 1996 and incorporated</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17">
              <w:r>
                <w:rPr>
                  <w:rFonts w:ascii="Arial" w:cs="Arial" w:eastAsia="Arial" w:hAnsi="Arial"/>
                  <w:sz w:val="18"/>
                  <w:szCs w:val="18"/>
                  <w:color w:val="0000FF"/>
                </w:rPr>
                <w:t>10C*</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Second Amendment to lease dated July 17, 1990, made as of October 18, 2000 between Buncher Company and the Company for the</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9"/>
              </w:rPr>
              <w:t>property in Pittsburgh, Pennsylvania (filed as Exhibit 10AG to the Company's Form 10-K for the year ended March 29, 2003 and</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18">
              <w:r>
                <w:rPr>
                  <w:rFonts w:ascii="Arial" w:cs="Arial" w:eastAsia="Arial" w:hAnsi="Arial"/>
                  <w:sz w:val="18"/>
                  <w:szCs w:val="18"/>
                  <w:color w:val="0000FF"/>
                </w:rPr>
                <w:t>10D*</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Third Amendment to lease dated July 17, 1990, made as of March 23, 2004 between Buncher Company and the Company for the property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10D to the Company's Form 10-K for the year ended March 30, 2013 and incorporated herein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19">
              <w:r>
                <w:rPr>
                  <w:rFonts w:ascii="Arial" w:cs="Arial" w:eastAsia="Arial" w:hAnsi="Arial"/>
                  <w:sz w:val="18"/>
                  <w:szCs w:val="18"/>
                  <w:color w:val="0000FF"/>
                </w:rPr>
                <w:t>10E*</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Fourth Amendment to lease dated July 17, 1990, made as of March 12, 2008 between Buncher Company and the Company for the property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10E to the Company's Form 10-K for the year ended March 30, 2013 and incorporated herein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20">
              <w:r>
                <w:rPr>
                  <w:rFonts w:ascii="Arial" w:cs="Arial" w:eastAsia="Arial" w:hAnsi="Arial"/>
                  <w:sz w:val="18"/>
                  <w:szCs w:val="18"/>
                  <w:color w:val="0000FF"/>
                </w:rPr>
                <w:t>10F*</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Fifth Amendment to lease dated July 17, 1990, made as of October 1, 2008 between Buncher Company and the Company for the property in</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10F to the Company's Form 10-K for the year ended March 30, 2013 and incorporated herein by</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21">
              <w:r>
                <w:rPr>
                  <w:rFonts w:ascii="Arial" w:cs="Arial" w:eastAsia="Arial" w:hAnsi="Arial"/>
                  <w:sz w:val="18"/>
                  <w:szCs w:val="18"/>
                  <w:color w:val="0000FF"/>
                </w:rPr>
                <w:t>10G*</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Sixth Amendment to lease dated July 17, 1990 made as of January 8, 2010 between Buncher Company and the Company for the property in</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10G to the Company's Form 10-K for the year ended March 30, 2013 and incorporated herein by</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22">
              <w:r>
                <w:rPr>
                  <w:rFonts w:ascii="Arial" w:cs="Arial" w:eastAsia="Arial" w:hAnsi="Arial"/>
                  <w:sz w:val="18"/>
                  <w:szCs w:val="18"/>
                  <w:color w:val="0000FF"/>
                </w:rPr>
                <w:t>10H*</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Seventh Amendment to lease dated July 17, 1990, made as of March 31, 2011 between Buncher Company and the Company for the property</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10H to the Company's Form 10-K for the year ended March 30, 2013 and incorporated herein</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30"/>
        </w:trPr>
        <w:tc>
          <w:tcPr>
            <w:tcW w:w="760" w:type="dxa"/>
            <w:vAlign w:val="bottom"/>
            <w:gridSpan w:val="6"/>
          </w:tcPr>
          <w:p>
            <w:pPr>
              <w:spacing w:after="0"/>
              <w:rPr>
                <w:rFonts w:ascii="Arial" w:cs="Arial" w:eastAsia="Arial" w:hAnsi="Arial"/>
                <w:sz w:val="18"/>
                <w:szCs w:val="18"/>
                <w:color w:val="0000FF"/>
              </w:rPr>
            </w:pPr>
            <w:hyperlink r:id="rId23">
              <w:r>
                <w:rPr>
                  <w:rFonts w:ascii="Arial" w:cs="Arial" w:eastAsia="Arial" w:hAnsi="Arial"/>
                  <w:sz w:val="18"/>
                  <w:szCs w:val="18"/>
                  <w:color w:val="0000FF"/>
                </w:rPr>
                <w:t>10I*</w:t>
              </w:r>
            </w:hyperlink>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Eighth Amendment to lease dated July 17, 1990, made as of February 26, 2013 between Buncher Company and the Company for the</w:t>
            </w:r>
          </w:p>
        </w:tc>
      </w:tr>
      <w:tr>
        <w:trPr>
          <w:trHeight w:val="222"/>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property in Pittsburgh, Pennsylvania (filed as Exhibit 10I to the Company's Form 10-K for the year ended March 30, 2013 and incorporated</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bl>
    <w:p>
      <w:pPr>
        <w:spacing w:after="0" w:line="40" w:lineRule="exact"/>
        <w:rPr>
          <w:sz w:val="20"/>
          <w:szCs w:val="20"/>
          <w:color w:val="auto"/>
        </w:rPr>
      </w:pPr>
    </w:p>
    <w:p>
      <w:pPr>
        <w:sectPr>
          <w:pgSz w:w="11900" w:h="16838" w:orient="portrait"/>
          <w:cols w:equalWidth="0" w:num="1">
            <w:col w:w="11320"/>
          </w:cols>
          <w:pgMar w:left="240" w:top="130" w:right="339" w:bottom="1440" w:gutter="0" w:footer="0" w:header="0"/>
        </w:sectPr>
      </w:pPr>
    </w:p>
    <w:p>
      <w:pPr>
        <w:ind w:left="4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10J*</w:t>
        </w:r>
      </w:hyperlink>
    </w:p>
    <w:p>
      <w:pPr>
        <w:spacing w:after="0" w:line="200" w:lineRule="exact"/>
        <w:rPr>
          <w:sz w:val="20"/>
          <w:szCs w:val="20"/>
          <w:color w:val="auto"/>
        </w:rPr>
      </w:pPr>
    </w:p>
    <w:p>
      <w:pPr>
        <w:spacing w:after="0" w:line="349" w:lineRule="exact"/>
        <w:rPr>
          <w:sz w:val="20"/>
          <w:szCs w:val="20"/>
          <w:color w:val="auto"/>
        </w:rPr>
      </w:pPr>
    </w:p>
    <w:p>
      <w:pPr>
        <w:ind w:left="4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10K*</w:t>
        </w:r>
      </w:hyperlink>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Ninth Amendment to lease dated July 17, 1990, made as of March 12, 2014 between Buncher Company and the Company for the property in Pittsburgh, Pennsylvania (filed as Exhibit 10J to the Company's Form 10-K for the year ended March 31, 2018 and incorporated herein by reference).</w:t>
      </w:r>
    </w:p>
    <w:p>
      <w:pPr>
        <w:spacing w:after="0" w:line="4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Tenth Amendment to lease dated July 17, 1990, made as of May 31, 2017 between Buncher Company and the Company for the property in Pittsburgh, Pennsylvania (filed as Exhibit 10K to the Company's Form 10-K for the year ended March 31, 2018 and incorporated herein by reference).</w:t>
      </w:r>
    </w:p>
    <w:p>
      <w:pPr>
        <w:spacing w:after="0" w:line="19" w:lineRule="exact"/>
        <w:rPr>
          <w:sz w:val="20"/>
          <w:szCs w:val="20"/>
          <w:color w:val="auto"/>
        </w:rPr>
      </w:pPr>
    </w:p>
    <w:p>
      <w:pPr>
        <w:sectPr>
          <w:pgSz w:w="11900" w:h="16838" w:orient="portrait"/>
          <w:cols w:equalWidth="0" w:num="2">
            <w:col w:w="460" w:space="720"/>
            <w:col w:w="10140"/>
          </w:cols>
          <w:pgMar w:left="240" w:top="130" w:right="339" w:bottom="1440" w:gutter="0" w:footer="0" w:header="0"/>
          <w:type w:val="continuous"/>
        </w:sectPr>
      </w:pPr>
    </w:p>
    <w:p>
      <w:pPr>
        <w:ind w:left="40"/>
        <w:spacing w:after="0"/>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10L*</w:t>
        </w:r>
      </w:hyperlink>
    </w:p>
    <w:p>
      <w:pPr>
        <w:spacing w:after="0" w:line="200" w:lineRule="exact"/>
        <w:rPr>
          <w:sz w:val="20"/>
          <w:szCs w:val="20"/>
          <w:color w:val="auto"/>
        </w:rPr>
      </w:pPr>
    </w:p>
    <w:p>
      <w:pPr>
        <w:spacing w:after="0" w:line="349" w:lineRule="exact"/>
        <w:rPr>
          <w:sz w:val="20"/>
          <w:szCs w:val="20"/>
          <w:color w:val="auto"/>
        </w:rPr>
      </w:pPr>
    </w:p>
    <w:p>
      <w:pPr>
        <w:ind w:left="40"/>
        <w:spacing w:after="0"/>
        <w:rPr>
          <w:rFonts w:ascii="Arial" w:cs="Arial" w:eastAsia="Arial" w:hAnsi="Arial"/>
          <w:sz w:val="17"/>
          <w:szCs w:val="17"/>
          <w:u w:val="single" w:color="auto"/>
          <w:color w:val="0000FF"/>
        </w:rPr>
      </w:pPr>
      <w:hyperlink r:id="rId27">
        <w:r>
          <w:rPr>
            <w:rFonts w:ascii="Arial" w:cs="Arial" w:eastAsia="Arial" w:hAnsi="Arial"/>
            <w:sz w:val="17"/>
            <w:szCs w:val="17"/>
            <w:u w:val="single" w:color="auto"/>
            <w:color w:val="0000FF"/>
          </w:rPr>
          <w:t>10M*</w:t>
        </w:r>
      </w:hyperlink>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Eleventh Amendment to lease dated July 17, 1990, made as of March 2, 2018 between Buncher Company and the Company for the property in Pittsburgh, Pennsylvania (filed as Exhibit 10L to the Company's Form 10-K for the year ended March 31, 2018 and incorporated herein by reference).</w:t>
      </w:r>
    </w:p>
    <w:p>
      <w:pPr>
        <w:spacing w:after="0" w:line="4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Lease dated February 21, 2000 between BBVA Bancomer Servicios, S.A., as Trustee of the “Submetropoli de Tijuana” Trust and Haemonetics Mexico Manufacturing, S. de R.L. de C.V., as successor in interest to Ensatec, S.A. de C.V. with authorization of El Florido California, S.A. de C.V., for property located in Tijuana, Mexico (filed as Exhibit 10J to the Company's Form 10-K for the year ended March 30, 2013 and incorporated herein by reference).</w:t>
      </w:r>
    </w:p>
    <w:p>
      <w:pPr>
        <w:spacing w:after="0" w:line="200" w:lineRule="exact"/>
        <w:rPr>
          <w:sz w:val="20"/>
          <w:szCs w:val="20"/>
          <w:color w:val="auto"/>
        </w:rPr>
      </w:pPr>
    </w:p>
    <w:p>
      <w:pPr>
        <w:sectPr>
          <w:pgSz w:w="11900" w:h="16838" w:orient="portrait"/>
          <w:cols w:equalWidth="0" w:num="2">
            <w:col w:w="460" w:space="720"/>
            <w:col w:w="10140"/>
          </w:cols>
          <w:pgMar w:left="240" w:top="130" w:right="339" w:bottom="1440" w:gutter="0" w:footer="0" w:header="0"/>
          <w:type w:val="continuous"/>
        </w:sectPr>
      </w:pP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20"/>
          </w:cols>
          <w:pgMar w:left="240" w:top="130"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10"/>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60" w:type="dxa"/>
            <w:vAlign w:val="bottom"/>
          </w:tcPr>
          <w:p>
            <w:pPr>
              <w:spacing w:after="0"/>
              <w:rPr>
                <w:sz w:val="16"/>
                <w:szCs w:val="16"/>
                <w:color w:val="auto"/>
              </w:rPr>
            </w:pPr>
          </w:p>
        </w:tc>
      </w:tr>
      <w:tr>
        <w:trPr>
          <w:trHeight w:val="588"/>
        </w:trPr>
        <w:tc>
          <w:tcPr>
            <w:tcW w:w="1180" w:type="dxa"/>
            <w:vAlign w:val="bottom"/>
            <w:gridSpan w:val="11"/>
          </w:tcPr>
          <w:p>
            <w:pPr>
              <w:ind w:left="40"/>
              <w:spacing w:after="0"/>
              <w:rPr>
                <w:rFonts w:ascii="Arial" w:cs="Arial" w:eastAsia="Arial" w:hAnsi="Arial"/>
                <w:sz w:val="18"/>
                <w:szCs w:val="18"/>
                <w:color w:val="0000FF"/>
              </w:rPr>
            </w:pPr>
            <w:hyperlink r:id="rId28">
              <w:r>
                <w:rPr>
                  <w:rFonts w:ascii="Arial" w:cs="Arial" w:eastAsia="Arial" w:hAnsi="Arial"/>
                  <w:sz w:val="18"/>
                  <w:szCs w:val="18"/>
                  <w:color w:val="0000FF"/>
                </w:rPr>
                <w:t>10N*</w:t>
              </w:r>
            </w:hyperlink>
          </w:p>
        </w:tc>
        <w:tc>
          <w:tcPr>
            <w:tcW w:w="10160" w:type="dxa"/>
            <w:vAlign w:val="bottom"/>
          </w:tcPr>
          <w:p>
            <w:pPr>
              <w:spacing w:after="0"/>
              <w:rPr>
                <w:sz w:val="20"/>
                <w:szCs w:val="20"/>
                <w:color w:val="auto"/>
              </w:rPr>
            </w:pPr>
            <w:r>
              <w:rPr>
                <w:rFonts w:ascii="Arial" w:cs="Arial" w:eastAsia="Arial" w:hAnsi="Arial"/>
                <w:sz w:val="18"/>
                <w:szCs w:val="18"/>
                <w:color w:val="auto"/>
                <w:w w:val="95"/>
              </w:rPr>
              <w:t>Amendment to Lease dated February 21, 2000 made as of July 25, 2008 between BBVA Bancomer Servicios, S.A., as Trustee of the</w:t>
            </w:r>
          </w:p>
        </w:tc>
      </w:tr>
      <w:tr>
        <w:trPr>
          <w:trHeight w:val="222"/>
        </w:trPr>
        <w:tc>
          <w:tcPr>
            <w:tcW w:w="4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“Submetropoli de Tijuana” Trust Haemonetics Mexico Manufacturing, S. de R.L. de C.V., as successor in interest to Ensatec, S.A. de C.V.,</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9"/>
              </w:rPr>
              <w:t>for property located in Tijuana, Mexico (filed as Exhibit 10K to the Company's Form 10-K for the year ended March 30, 2013 and</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29">
              <w:r>
                <w:rPr>
                  <w:rFonts w:ascii="Arial" w:cs="Arial" w:eastAsia="Arial" w:hAnsi="Arial"/>
                  <w:sz w:val="18"/>
                  <w:szCs w:val="18"/>
                  <w:color w:val="0000FF"/>
                </w:rPr>
                <w:t>10O*</w:t>
              </w:r>
            </w:hyperlink>
          </w:p>
        </w:tc>
        <w:tc>
          <w:tcPr>
            <w:tcW w:w="10160" w:type="dxa"/>
            <w:vAlign w:val="bottom"/>
          </w:tcPr>
          <w:p>
            <w:pPr>
              <w:spacing w:after="0"/>
              <w:rPr>
                <w:sz w:val="20"/>
                <w:szCs w:val="20"/>
                <w:color w:val="auto"/>
              </w:rPr>
            </w:pPr>
            <w:r>
              <w:rPr>
                <w:rFonts w:ascii="Arial" w:cs="Arial" w:eastAsia="Arial" w:hAnsi="Arial"/>
                <w:sz w:val="18"/>
                <w:szCs w:val="18"/>
                <w:color w:val="auto"/>
                <w:w w:val="90"/>
              </w:rPr>
              <w:t>Extension to Lease dated February 21, 2000, made as of August 14, 2011 between PROCADEF 1, S.A.P.I. de C.V. and Haemonetics Mexico</w:t>
            </w:r>
          </w:p>
        </w:tc>
      </w:tr>
      <w:tr>
        <w:trPr>
          <w:trHeight w:val="222"/>
        </w:trPr>
        <w:tc>
          <w:tcPr>
            <w:tcW w:w="4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Manufacturing, S. de R.L. de C.V., as successor in interest to Ensatec, S.A. de C.V., for property located in Tijuana, Mexico (Spanish to</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7"/>
              </w:rPr>
              <w:t>English translation filed as Exhibit 10L to the Company's Form 10-K for the year ended March 30, 2013 and incorporated herein by</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30">
              <w:r>
                <w:rPr>
                  <w:rFonts w:ascii="Arial" w:cs="Arial" w:eastAsia="Arial" w:hAnsi="Arial"/>
                  <w:sz w:val="18"/>
                  <w:szCs w:val="18"/>
                  <w:color w:val="0000FF"/>
                </w:rPr>
                <w:t>10P*</w:t>
              </w:r>
            </w:hyperlink>
          </w:p>
        </w:tc>
        <w:tc>
          <w:tcPr>
            <w:tcW w:w="10160" w:type="dxa"/>
            <w:vAlign w:val="bottom"/>
          </w:tcPr>
          <w:p>
            <w:pPr>
              <w:spacing w:after="0"/>
              <w:rPr>
                <w:sz w:val="20"/>
                <w:szCs w:val="20"/>
                <w:color w:val="auto"/>
              </w:rPr>
            </w:pPr>
            <w:r>
              <w:rPr>
                <w:rFonts w:ascii="Arial" w:cs="Arial" w:eastAsia="Arial" w:hAnsi="Arial"/>
                <w:sz w:val="18"/>
                <w:szCs w:val="18"/>
                <w:color w:val="auto"/>
                <w:w w:val="91"/>
              </w:rPr>
              <w:t>Amendment Letter to Lease dated February 21, 2000, made as of August 14, 2011 between BBVA Bancomer Servicios, S.A., as Trustee of</w:t>
            </w:r>
          </w:p>
        </w:tc>
      </w:tr>
      <w:tr>
        <w:trPr>
          <w:trHeight w:val="222"/>
        </w:trPr>
        <w:tc>
          <w:tcPr>
            <w:tcW w:w="4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the “Submetropoli de Tijuana” Trust and Haemonetics Mexico Manufacturing, S. de R.L. de C.V., as successor in interest to Ensatec, S.A.</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de C.V., for property located in Tijuana, Mexico (filed as Exhibit 10M to the Company's Form 10-K for the year ended March 30, 2013 and</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31">
              <w:r>
                <w:rPr>
                  <w:rFonts w:ascii="Arial" w:cs="Arial" w:eastAsia="Arial" w:hAnsi="Arial"/>
                  <w:sz w:val="18"/>
                  <w:szCs w:val="18"/>
                  <w:color w:val="0000FF"/>
                </w:rPr>
                <w:t>10Q*</w:t>
              </w:r>
            </w:hyperlink>
          </w:p>
        </w:tc>
        <w:tc>
          <w:tcPr>
            <w:tcW w:w="10160" w:type="dxa"/>
            <w:vAlign w:val="bottom"/>
          </w:tcPr>
          <w:p>
            <w:pPr>
              <w:spacing w:after="0"/>
              <w:rPr>
                <w:sz w:val="20"/>
                <w:szCs w:val="20"/>
                <w:color w:val="auto"/>
              </w:rPr>
            </w:pPr>
            <w:r>
              <w:rPr>
                <w:rFonts w:ascii="Arial" w:cs="Arial" w:eastAsia="Arial" w:hAnsi="Arial"/>
                <w:sz w:val="18"/>
                <w:szCs w:val="18"/>
                <w:color w:val="auto"/>
                <w:w w:val="95"/>
              </w:rPr>
              <w:t>Notice of Assignment to Lease dated February 21, 2000, made as of February 23, 2012 between BBVA Bancomer Servicios, S.A., as</w:t>
            </w:r>
          </w:p>
        </w:tc>
      </w:tr>
      <w:tr>
        <w:trPr>
          <w:trHeight w:val="222"/>
        </w:trPr>
        <w:tc>
          <w:tcPr>
            <w:tcW w:w="4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Trustee of the “Submetropoli de Tijuana” Trust and Haemonetics Mexico Manufacturing, S. de R.L. de C.V., as successor in interest to</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Ensatec, S.A. de C.V. for property located in Tijuana, Mexico (Spanish to English translation filed as Exhibit 10N to the Company's Form</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10-K for the year ended March 30, 2013 and incorporated herein by reference).</w:t>
            </w:r>
          </w:p>
        </w:tc>
      </w:tr>
      <w:tr>
        <w:trPr>
          <w:trHeight w:val="230"/>
        </w:trPr>
        <w:tc>
          <w:tcPr>
            <w:tcW w:w="40" w:type="dxa"/>
            <w:vAlign w:val="bottom"/>
          </w:tcPr>
          <w:p>
            <w:pPr>
              <w:spacing w:after="0"/>
              <w:rPr>
                <w:sz w:val="19"/>
                <w:szCs w:val="19"/>
                <w:color w:val="auto"/>
              </w:rPr>
            </w:pPr>
          </w:p>
        </w:tc>
        <w:tc>
          <w:tcPr>
            <w:tcW w:w="380" w:type="dxa"/>
            <w:vAlign w:val="bottom"/>
            <w:tcBorders>
              <w:bottom w:val="single" w:sz="8" w:color="0000FF"/>
            </w:tcBorders>
            <w:gridSpan w:val="2"/>
          </w:tcPr>
          <w:p>
            <w:pPr>
              <w:spacing w:after="0"/>
              <w:rPr>
                <w:rFonts w:ascii="Arial" w:cs="Arial" w:eastAsia="Arial" w:hAnsi="Arial"/>
                <w:sz w:val="18"/>
                <w:szCs w:val="18"/>
                <w:color w:val="0000FF"/>
                <w:w w:val="89"/>
              </w:rPr>
            </w:pPr>
            <w:hyperlink r:id="rId32">
              <w:r>
                <w:rPr>
                  <w:rFonts w:ascii="Arial" w:cs="Arial" w:eastAsia="Arial" w:hAnsi="Arial"/>
                  <w:sz w:val="18"/>
                  <w:szCs w:val="18"/>
                  <w:color w:val="0000FF"/>
                  <w:w w:val="89"/>
                </w:rPr>
                <w:t>10R*</w:t>
              </w:r>
            </w:hyperlink>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0"/>
              </w:rPr>
              <w:t>Amendment to Lease dated February 21, 2000 made as of January 1, 2018 between MEGA2013, S.A.P.I. de CV (as successor in interest to</w:t>
            </w:r>
          </w:p>
        </w:tc>
      </w:tr>
      <w:tr>
        <w:trPr>
          <w:trHeight w:val="249"/>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ABBVA Bancomer Servicios, S.A., as Trustee of the “Submetropoli de Tijuana” Trust) and Haemonetics Mexico Manufacturing, S. de R.L.</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de C.V., as successor in interest to Ensatec, S.A. de C.V., for property located in Tijuana, Mexico (filed as Exhibit 10R to the Company's</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10-K for the year ended March 31, 2018 and incorporated herein by reference).</w:t>
            </w:r>
          </w:p>
        </w:tc>
      </w:tr>
      <w:tr>
        <w:trPr>
          <w:trHeight w:val="257"/>
        </w:trPr>
        <w:tc>
          <w:tcPr>
            <w:tcW w:w="1180" w:type="dxa"/>
            <w:vAlign w:val="bottom"/>
            <w:gridSpan w:val="11"/>
          </w:tcPr>
          <w:p>
            <w:pPr>
              <w:ind w:left="40"/>
              <w:spacing w:after="0"/>
              <w:rPr>
                <w:rFonts w:ascii="Arial" w:cs="Arial" w:eastAsia="Arial" w:hAnsi="Arial"/>
                <w:sz w:val="18"/>
                <w:szCs w:val="18"/>
                <w:color w:val="0000FF"/>
              </w:rPr>
            </w:pPr>
            <w:hyperlink r:id="rId33">
              <w:r>
                <w:rPr>
                  <w:rFonts w:ascii="Arial" w:cs="Arial" w:eastAsia="Arial" w:hAnsi="Arial"/>
                  <w:sz w:val="18"/>
                  <w:szCs w:val="18"/>
                  <w:color w:val="0000FF"/>
                </w:rPr>
                <w:t>10S*</w:t>
              </w:r>
            </w:hyperlink>
          </w:p>
        </w:tc>
        <w:tc>
          <w:tcPr>
            <w:tcW w:w="10160" w:type="dxa"/>
            <w:vAlign w:val="bottom"/>
          </w:tcPr>
          <w:p>
            <w:pPr>
              <w:spacing w:after="0"/>
              <w:rPr>
                <w:sz w:val="20"/>
                <w:szCs w:val="20"/>
                <w:color w:val="auto"/>
              </w:rPr>
            </w:pPr>
            <w:r>
              <w:rPr>
                <w:rFonts w:ascii="Arial" w:cs="Arial" w:eastAsia="Arial" w:hAnsi="Arial"/>
                <w:sz w:val="18"/>
                <w:szCs w:val="18"/>
                <w:color w:val="auto"/>
                <w:w w:val="93"/>
              </w:rPr>
              <w:t>Lease Agreement effective December 3, 2007 between Mrs. Blanca Estela Colunga Santelices, by her own right, and Pall Life Sciences</w:t>
            </w:r>
          </w:p>
        </w:tc>
      </w:tr>
      <w:tr>
        <w:trPr>
          <w:trHeight w:val="222"/>
        </w:trPr>
        <w:tc>
          <w:tcPr>
            <w:tcW w:w="4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Mexico, S.de R.L. de C.V. for the property located in Tijuana, Mexico (Spanish to English translation filed as Exhibit 10W to the Company's</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10-K for the year ended March 30, 2013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34">
              <w:r>
                <w:rPr>
                  <w:rFonts w:ascii="Arial" w:cs="Arial" w:eastAsia="Arial" w:hAnsi="Arial"/>
                  <w:sz w:val="18"/>
                  <w:szCs w:val="18"/>
                  <w:color w:val="0000FF"/>
                </w:rPr>
                <w:t>10T*</w:t>
              </w:r>
            </w:hyperlink>
          </w:p>
        </w:tc>
        <w:tc>
          <w:tcPr>
            <w:tcW w:w="10160" w:type="dxa"/>
            <w:vAlign w:val="bottom"/>
          </w:tcPr>
          <w:p>
            <w:pPr>
              <w:spacing w:after="0"/>
              <w:rPr>
                <w:sz w:val="20"/>
                <w:szCs w:val="20"/>
                <w:color w:val="auto"/>
              </w:rPr>
            </w:pPr>
            <w:r>
              <w:rPr>
                <w:rFonts w:ascii="Arial" w:cs="Arial" w:eastAsia="Arial" w:hAnsi="Arial"/>
                <w:sz w:val="18"/>
                <w:szCs w:val="18"/>
                <w:color w:val="auto"/>
                <w:w w:val="97"/>
              </w:rPr>
              <w:t>Assignment to Lease Agreement effective December 3, 2007, made as of December 2, 2011 between Mrs. Blanca Estela Colunga</w:t>
            </w:r>
          </w:p>
        </w:tc>
      </w:tr>
      <w:tr>
        <w:trPr>
          <w:trHeight w:val="222"/>
        </w:trPr>
        <w:tc>
          <w:tcPr>
            <w:tcW w:w="4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Santelices, by her own right, Pall Life Sciences Mexico, S.de R.L. de C.V., (“Assignor”) and Haemonetics Mexico Manufacturing, S. de</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R.L. de C.V.as successor in interest to Pall Mexico Manufacturing S. de R.L. de C.V., (“Assignee”) assigned in favor of the property located</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7"/>
              </w:rPr>
              <w:t>in Tijuana, Mexico (filed as Exhibit 10X to the Company's Form 10-K for the year ended March 30, 2013 and incorporated herein by</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w:t>
            </w:r>
          </w:p>
        </w:tc>
      </w:tr>
      <w:tr>
        <w:trPr>
          <w:trHeight w:val="230"/>
        </w:trPr>
        <w:tc>
          <w:tcPr>
            <w:tcW w:w="40" w:type="dxa"/>
            <w:vAlign w:val="bottom"/>
          </w:tcPr>
          <w:p>
            <w:pPr>
              <w:spacing w:after="0"/>
              <w:rPr>
                <w:sz w:val="19"/>
                <w:szCs w:val="19"/>
                <w:color w:val="auto"/>
              </w:rPr>
            </w:pPr>
          </w:p>
        </w:tc>
        <w:tc>
          <w:tcPr>
            <w:tcW w:w="400" w:type="dxa"/>
            <w:vAlign w:val="bottom"/>
            <w:tcBorders>
              <w:bottom w:val="single" w:sz="8" w:color="0000FF"/>
            </w:tcBorders>
            <w:gridSpan w:val="3"/>
          </w:tcPr>
          <w:p>
            <w:pPr>
              <w:spacing w:after="0"/>
              <w:rPr>
                <w:rFonts w:ascii="Arial" w:cs="Arial" w:eastAsia="Arial" w:hAnsi="Arial"/>
                <w:sz w:val="18"/>
                <w:szCs w:val="18"/>
                <w:color w:val="0000FF"/>
                <w:w w:val="94"/>
              </w:rPr>
            </w:pPr>
            <w:hyperlink r:id="rId35">
              <w:r>
                <w:rPr>
                  <w:rFonts w:ascii="Arial" w:cs="Arial" w:eastAsia="Arial" w:hAnsi="Arial"/>
                  <w:sz w:val="18"/>
                  <w:szCs w:val="18"/>
                  <w:color w:val="0000FF"/>
                  <w:w w:val="94"/>
                </w:rPr>
                <w:t>10U*</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Amendment to Lease Agreement effective December 3, 2007, made in 2017 between Mrs. Blanca Estela Colunga Santelices, by her own</w:t>
            </w:r>
          </w:p>
        </w:tc>
      </w:tr>
      <w:tr>
        <w:trPr>
          <w:trHeight w:val="249"/>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right, Pall Life Sciences Mexico, S.de R.L. de C.V. (“Assignor”) and Haemonetics Mexico Manufacturing, S. de R.L. de C.V. as successor in</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interest to Pall Mexico Manufacturing S. de R.L. de C.V., (“Assignee”) assigned in favor of the property located in Tijuana, Mexico (filed as</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Exhibit 10U to the Company's Form 10-K for the year ended March 31, 2018 and incorporated herein by reference).</w:t>
            </w:r>
          </w:p>
        </w:tc>
      </w:tr>
      <w:tr>
        <w:trPr>
          <w:trHeight w:val="257"/>
        </w:trPr>
        <w:tc>
          <w:tcPr>
            <w:tcW w:w="1180" w:type="dxa"/>
            <w:vAlign w:val="bottom"/>
            <w:gridSpan w:val="11"/>
          </w:tcPr>
          <w:p>
            <w:pPr>
              <w:ind w:left="40"/>
              <w:spacing w:after="0"/>
              <w:rPr>
                <w:rFonts w:ascii="Arial" w:cs="Arial" w:eastAsia="Arial" w:hAnsi="Arial"/>
                <w:sz w:val="18"/>
                <w:szCs w:val="18"/>
                <w:color w:val="0000FF"/>
              </w:rPr>
            </w:pPr>
            <w:hyperlink r:id="rId36">
              <w:r>
                <w:rPr>
                  <w:rFonts w:ascii="Arial" w:cs="Arial" w:eastAsia="Arial" w:hAnsi="Arial"/>
                  <w:sz w:val="18"/>
                  <w:szCs w:val="18"/>
                  <w:color w:val="0000FF"/>
                </w:rPr>
                <w:t>10V*</w:t>
              </w:r>
            </w:hyperlink>
          </w:p>
        </w:tc>
        <w:tc>
          <w:tcPr>
            <w:tcW w:w="1016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December 3, 2011 between Haemonetics Mexico</w:t>
            </w:r>
          </w:p>
        </w:tc>
      </w:tr>
      <w:tr>
        <w:trPr>
          <w:trHeight w:val="222"/>
        </w:trPr>
        <w:tc>
          <w:tcPr>
            <w:tcW w:w="4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Manufacturing, S. de R.L. de C.V. as successor in interest to Pall Mexico Manufacturing, S.de R.L. de C.V., and Pall Life Sciences Mexico,</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7"/>
              </w:rPr>
              <w:t>S. de R.L. de C.V., for the property located in Tijuana, Mexico (filed as Exhibit 10Y to the Company's Form 10-K for the year ended</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March 30, 2013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37">
              <w:r>
                <w:rPr>
                  <w:rFonts w:ascii="Arial" w:cs="Arial" w:eastAsia="Arial" w:hAnsi="Arial"/>
                  <w:sz w:val="18"/>
                  <w:szCs w:val="18"/>
                  <w:color w:val="0000FF"/>
                </w:rPr>
                <w:t>10W*</w:t>
              </w:r>
            </w:hyperlink>
          </w:p>
        </w:tc>
        <w:tc>
          <w:tcPr>
            <w:tcW w:w="1016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February 23, 2012 between Haemonetics Mexico</w:t>
            </w:r>
          </w:p>
        </w:tc>
      </w:tr>
      <w:tr>
        <w:trPr>
          <w:trHeight w:val="222"/>
        </w:trPr>
        <w:tc>
          <w:tcPr>
            <w:tcW w:w="4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Manufacturing, S. de R.L. de C.V. as successor in interest to Pall Mexico Manufacturing S. de R.L. de C.V. and Ensatec, S.A. de C.V., for</w:t>
            </w:r>
          </w:p>
        </w:tc>
      </w:t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9"/>
              </w:rPr>
              <w:t>the property located in Tijuana, Mexico (filed as Exhibit 10Z to the Company's Form 10-K for the year ended March 30, 2013 and</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38">
              <w:r>
                <w:rPr>
                  <w:rFonts w:ascii="Arial" w:cs="Arial" w:eastAsia="Arial" w:hAnsi="Arial"/>
                  <w:sz w:val="18"/>
                  <w:szCs w:val="18"/>
                  <w:color w:val="0000FF"/>
                </w:rPr>
                <w:t>10X*</w:t>
              </w:r>
            </w:hyperlink>
          </w:p>
        </w:tc>
        <w:tc>
          <w:tcPr>
            <w:tcW w:w="10160" w:type="dxa"/>
            <w:vAlign w:val="bottom"/>
          </w:tcPr>
          <w:p>
            <w:pPr>
              <w:spacing w:after="0"/>
              <w:rPr>
                <w:sz w:val="20"/>
                <w:szCs w:val="20"/>
                <w:color w:val="auto"/>
              </w:rPr>
            </w:pPr>
            <w:r>
              <w:rPr>
                <w:rFonts w:ascii="Arial" w:cs="Arial" w:eastAsia="Arial" w:hAnsi="Arial"/>
                <w:sz w:val="18"/>
                <w:szCs w:val="18"/>
                <w:color w:val="auto"/>
                <w:w w:val="90"/>
              </w:rPr>
              <w:t>Lease dated September 19, 2013 between the Penang Development Corporation and Haemonetics Malaysia Sdn Bhd of the property located</w:t>
            </w:r>
          </w:p>
        </w:tc>
      </w:tr>
      <w:tr>
        <w:trPr>
          <w:trHeight w:val="237"/>
        </w:trPr>
        <w:tc>
          <w:tcPr>
            <w:tcW w:w="4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0"/>
              </w:rPr>
              <w:t>in Penang, Malaysia (filed as Exhibit 10D to the Company's 10-Q for the quarter ended June 28, 2014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39">
              <w:r>
                <w:rPr>
                  <w:rFonts w:ascii="Arial" w:cs="Arial" w:eastAsia="Arial" w:hAnsi="Arial"/>
                  <w:sz w:val="18"/>
                  <w:szCs w:val="18"/>
                  <w:color w:val="0000FF"/>
                </w:rPr>
                <w:t>10Y*‡</w:t>
              </w:r>
            </w:hyperlink>
          </w:p>
        </w:tc>
        <w:tc>
          <w:tcPr>
            <w:tcW w:w="10160" w:type="dxa"/>
            <w:vAlign w:val="bottom"/>
          </w:tcPr>
          <w:p>
            <w:pPr>
              <w:spacing w:after="0"/>
              <w:rPr>
                <w:sz w:val="20"/>
                <w:szCs w:val="20"/>
                <w:color w:val="auto"/>
              </w:rPr>
            </w:pPr>
            <w:r>
              <w:rPr>
                <w:rFonts w:ascii="Arial" w:cs="Arial" w:eastAsia="Arial" w:hAnsi="Arial"/>
                <w:sz w:val="18"/>
                <w:szCs w:val="18"/>
                <w:color w:val="auto"/>
                <w:w w:val="92"/>
              </w:rPr>
              <w:t>Office Lease Agreement, dated as of December 18, 2018, by and between OPG 125 Summer Owner (DE) LLC and the Company (filed as</w:t>
            </w:r>
          </w:p>
        </w:tc>
      </w:tr>
      <w:tr>
        <w:trPr>
          <w:trHeight w:val="237"/>
        </w:trPr>
        <w:tc>
          <w:tcPr>
            <w:tcW w:w="4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Exhibit 10.1 to the Company's Form 10-Q for the quarter ended December 29, 2018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0">
              <w:r>
                <w:rPr>
                  <w:rFonts w:ascii="Arial" w:cs="Arial" w:eastAsia="Arial" w:hAnsi="Arial"/>
                  <w:sz w:val="18"/>
                  <w:szCs w:val="18"/>
                  <w:color w:val="0000FF"/>
                </w:rPr>
                <w:t>10Z*†</w:t>
              </w:r>
            </w:hyperlink>
          </w:p>
        </w:tc>
        <w:tc>
          <w:tcPr>
            <w:tcW w:w="10160" w:type="dxa"/>
            <w:vAlign w:val="bottom"/>
          </w:tcPr>
          <w:p>
            <w:pPr>
              <w:spacing w:after="0"/>
              <w:rPr>
                <w:sz w:val="20"/>
                <w:szCs w:val="20"/>
                <w:color w:val="auto"/>
              </w:rPr>
            </w:pPr>
            <w:r>
              <w:rPr>
                <w:rFonts w:ascii="Arial" w:cs="Arial" w:eastAsia="Arial" w:hAnsi="Arial"/>
                <w:sz w:val="18"/>
                <w:szCs w:val="18"/>
                <w:color w:val="auto"/>
                <w:w w:val="92"/>
              </w:rPr>
              <w:t>Haemonetics Corporation 2005 Long-Term Incentive Compensation Plan, reflecting amendments dated July 31, 2008, July 29, 2009, July</w:t>
            </w:r>
          </w:p>
        </w:tc>
      </w:tr>
      <w:tr>
        <w:trPr>
          <w:trHeight w:val="222"/>
        </w:trPr>
        <w:tc>
          <w:tcPr>
            <w:tcW w:w="4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21, 2011, November 30, 2012, July 24, 2013, January 21, 2014, and July 23, 2014 (filed as Exhibit 10.1 to the Company's Form 8-K dated</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July 25, 2014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1">
              <w:r>
                <w:rPr>
                  <w:rFonts w:ascii="Arial" w:cs="Arial" w:eastAsia="Arial" w:hAnsi="Arial"/>
                  <w:sz w:val="18"/>
                  <w:szCs w:val="18"/>
                  <w:color w:val="0000FF"/>
                </w:rPr>
                <w:t>10AA*†</w:t>
              </w:r>
            </w:hyperlink>
          </w:p>
        </w:tc>
        <w:tc>
          <w:tcPr>
            <w:tcW w:w="10160" w:type="dxa"/>
            <w:vAlign w:val="bottom"/>
          </w:tcPr>
          <w:p>
            <w:pPr>
              <w:spacing w:after="0"/>
              <w:rPr>
                <w:sz w:val="20"/>
                <w:szCs w:val="20"/>
                <w:color w:val="auto"/>
              </w:rPr>
            </w:pPr>
            <w:r>
              <w:rPr>
                <w:rFonts w:ascii="Arial" w:cs="Arial" w:eastAsia="Arial" w:hAnsi="Arial"/>
                <w:sz w:val="18"/>
                <w:szCs w:val="18"/>
                <w:color w:val="auto"/>
                <w:w w:val="96"/>
              </w:rPr>
              <w:t>Form of Option Agreement for Non-Qualified stock options for the 2005 Long Term-Incentive Compensation Plan for Non-employee</w:t>
            </w:r>
          </w:p>
        </w:tc>
      </w:tr>
      <w:tr>
        <w:trPr>
          <w:trHeight w:val="237"/>
        </w:trPr>
        <w:tc>
          <w:tcPr>
            <w:tcW w:w="4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Directors (filed as Exhibit 10.1 to the Company's Form 10-Q for the quarter ended October 1, 2005 and incorporated herein by reference).</w:t>
            </w:r>
          </w:p>
        </w:tc>
      </w:tr>
      <w:tr>
        <w:trPr>
          <w:trHeight w:val="230"/>
        </w:trPr>
        <w:tc>
          <w:tcPr>
            <w:tcW w:w="1180" w:type="dxa"/>
            <w:vAlign w:val="bottom"/>
            <w:gridSpan w:val="11"/>
          </w:tcPr>
          <w:p>
            <w:pPr>
              <w:ind w:left="40"/>
              <w:spacing w:after="0"/>
              <w:rPr>
                <w:rFonts w:ascii="Arial" w:cs="Arial" w:eastAsia="Arial" w:hAnsi="Arial"/>
                <w:sz w:val="18"/>
                <w:szCs w:val="18"/>
                <w:color w:val="0000FF"/>
              </w:rPr>
            </w:pPr>
            <w:hyperlink r:id="rId42">
              <w:r>
                <w:rPr>
                  <w:rFonts w:ascii="Arial" w:cs="Arial" w:eastAsia="Arial" w:hAnsi="Arial"/>
                  <w:sz w:val="18"/>
                  <w:szCs w:val="18"/>
                  <w:color w:val="0000FF"/>
                </w:rPr>
                <w:t>10AB*†</w:t>
              </w:r>
            </w:hyperlink>
          </w:p>
        </w:tc>
        <w:tc>
          <w:tcPr>
            <w:tcW w:w="10160" w:type="dxa"/>
            <w:vAlign w:val="bottom"/>
          </w:tcPr>
          <w:p>
            <w:pPr>
              <w:spacing w:after="0"/>
              <w:rPr>
                <w:sz w:val="20"/>
                <w:szCs w:val="20"/>
                <w:color w:val="auto"/>
              </w:rPr>
            </w:pPr>
            <w:r>
              <w:rPr>
                <w:rFonts w:ascii="Arial" w:cs="Arial" w:eastAsia="Arial" w:hAnsi="Arial"/>
                <w:sz w:val="18"/>
                <w:szCs w:val="18"/>
                <w:color w:val="auto"/>
                <w:w w:val="93"/>
              </w:rPr>
              <w:t>Form of Option Agreement for Non-Qualified stock options for the 2005 Long-Term Incentive Compensation Plan for Employees (filed as</w:t>
            </w:r>
          </w:p>
        </w:tc>
      </w:tr>
      <w:tr>
        <w:trPr>
          <w:trHeight w:val="237"/>
        </w:trPr>
        <w:tc>
          <w:tcPr>
            <w:tcW w:w="4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Exhibit 10S to the Company's Form 10-K for the fiscal year ended March 30, 2010 and incorporated herein by reference).</w:t>
            </w:r>
          </w:p>
        </w:tc>
      </w:tr>
      <w:tr>
        <w:trPr>
          <w:trHeight w:val="486"/>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Pr>
          <w:p>
            <w:pPr>
              <w:ind w:left="4440"/>
              <w:spacing w:after="0"/>
              <w:rPr>
                <w:sz w:val="20"/>
                <w:szCs w:val="20"/>
                <w:color w:val="auto"/>
              </w:rPr>
            </w:pPr>
            <w:r>
              <w:rPr>
                <w:rFonts w:ascii="Arial" w:cs="Arial" w:eastAsia="Arial" w:hAnsi="Arial"/>
                <w:sz w:val="18"/>
                <w:szCs w:val="18"/>
                <w:color w:val="auto"/>
              </w:rPr>
              <w:t>91</w:t>
            </w:r>
          </w:p>
        </w:tc>
      </w:tr>
    </w:tbl>
    <w:p>
      <w:pPr>
        <w:sectPr>
          <w:pgSz w:w="11900" w:h="16838" w:orient="portrait"/>
          <w:cols w:equalWidth="0" w:num="1">
            <w:col w:w="11340"/>
          </w:cols>
          <w:pgMar w:left="240" w:top="118" w:right="31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8"/>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588"/>
        </w:trPr>
        <w:tc>
          <w:tcPr>
            <w:tcW w:w="1180" w:type="dxa"/>
            <w:vAlign w:val="bottom"/>
            <w:gridSpan w:val="9"/>
          </w:tcPr>
          <w:p>
            <w:pPr>
              <w:ind w:left="40"/>
              <w:spacing w:after="0"/>
              <w:rPr>
                <w:rFonts w:ascii="Arial" w:cs="Arial" w:eastAsia="Arial" w:hAnsi="Arial"/>
                <w:sz w:val="18"/>
                <w:szCs w:val="18"/>
                <w:color w:val="0000FF"/>
              </w:rPr>
            </w:pPr>
            <w:hyperlink r:id="rId43">
              <w:r>
                <w:rPr>
                  <w:rFonts w:ascii="Arial" w:cs="Arial" w:eastAsia="Arial" w:hAnsi="Arial"/>
                  <w:sz w:val="18"/>
                  <w:szCs w:val="18"/>
                  <w:color w:val="0000FF"/>
                </w:rPr>
                <w:t>10AC*†</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Form of Option Agreement for Non-Qualified stock options for the 2005 Long-Term Incentive Compensation Plan for Employees (adopted</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fiscal 2019) (filed as Exhibit 10.2 to the Company's Form 10-Q for the quarter ended June 30, 2018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44">
              <w:r>
                <w:rPr>
                  <w:rFonts w:ascii="Arial" w:cs="Arial" w:eastAsia="Arial" w:hAnsi="Arial"/>
                  <w:sz w:val="18"/>
                  <w:szCs w:val="18"/>
                  <w:color w:val="0000FF"/>
                </w:rPr>
                <w:t>10AD*†</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Form of Restricted Stock Unit Agreement with Non-Employee Directors under 2005 Long-Term Incentive Compensation Plan (fiscal 2019)</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as Exhibit 10.5 to the Company's Form 10-Q for the quarter ended June 30, 2018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45">
              <w:r>
                <w:rPr>
                  <w:rFonts w:ascii="Arial" w:cs="Arial" w:eastAsia="Arial" w:hAnsi="Arial"/>
                  <w:sz w:val="18"/>
                  <w:szCs w:val="18"/>
                  <w:color w:val="0000FF"/>
                </w:rPr>
                <w:t>10AE*†</w:t>
              </w:r>
            </w:hyperlink>
          </w:p>
        </w:tc>
        <w:tc>
          <w:tcPr>
            <w:tcW w:w="10140" w:type="dxa"/>
            <w:vAlign w:val="bottom"/>
          </w:tcPr>
          <w:p>
            <w:pPr>
              <w:spacing w:after="0"/>
              <w:rPr>
                <w:sz w:val="20"/>
                <w:szCs w:val="20"/>
                <w:color w:val="auto"/>
              </w:rPr>
            </w:pPr>
            <w:r>
              <w:rPr>
                <w:rFonts w:ascii="Arial" w:cs="Arial" w:eastAsia="Arial" w:hAnsi="Arial"/>
                <w:sz w:val="18"/>
                <w:szCs w:val="18"/>
                <w:color w:val="auto"/>
                <w:w w:val="91"/>
              </w:rPr>
              <w:t>Form of Restricted Stock Unit Agreement with Employees under 2005 Long-Term Incentive Compensation Plan (filed as Exhibit 10U to the</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year ended April 3, 2010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46">
              <w:r>
                <w:rPr>
                  <w:rFonts w:ascii="Arial" w:cs="Arial" w:eastAsia="Arial" w:hAnsi="Arial"/>
                  <w:sz w:val="18"/>
                  <w:szCs w:val="18"/>
                  <w:color w:val="0000FF"/>
                </w:rPr>
                <w:t>10AF*†</w:t>
              </w:r>
            </w:hyperlink>
          </w:p>
        </w:tc>
        <w:tc>
          <w:tcPr>
            <w:tcW w:w="10140" w:type="dxa"/>
            <w:vAlign w:val="bottom"/>
          </w:tcPr>
          <w:p>
            <w:pPr>
              <w:spacing w:after="0"/>
              <w:rPr>
                <w:sz w:val="20"/>
                <w:szCs w:val="20"/>
                <w:color w:val="auto"/>
              </w:rPr>
            </w:pPr>
            <w:r>
              <w:rPr>
                <w:rFonts w:ascii="Arial" w:cs="Arial" w:eastAsia="Arial" w:hAnsi="Arial"/>
                <w:sz w:val="18"/>
                <w:szCs w:val="18"/>
                <w:color w:val="auto"/>
                <w:w w:val="91"/>
              </w:rPr>
              <w:t>Form of Restricted Stock Unit Agreement with Employees under 2005 Long-Term Incentive Compensation Plan (adopted fiscal 2019) (filed</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as Exhibit 10.4 to the Company's Form 10-Q for the quarter ended June 30, 2018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47">
              <w:r>
                <w:rPr>
                  <w:rFonts w:ascii="Arial" w:cs="Arial" w:eastAsia="Arial" w:hAnsi="Arial"/>
                  <w:sz w:val="18"/>
                  <w:szCs w:val="18"/>
                  <w:color w:val="0000FF"/>
                </w:rPr>
                <w:t>10AG*†</w:t>
              </w:r>
            </w:hyperlink>
          </w:p>
        </w:tc>
        <w:tc>
          <w:tcPr>
            <w:tcW w:w="10140" w:type="dxa"/>
            <w:vAlign w:val="bottom"/>
          </w:tcPr>
          <w:p>
            <w:pPr>
              <w:spacing w:after="0"/>
              <w:rPr>
                <w:sz w:val="20"/>
                <w:szCs w:val="20"/>
                <w:color w:val="auto"/>
              </w:rPr>
            </w:pPr>
            <w:r>
              <w:rPr>
                <w:rFonts w:ascii="Arial" w:cs="Arial" w:eastAsia="Arial" w:hAnsi="Arial"/>
                <w:sz w:val="18"/>
                <w:szCs w:val="18"/>
                <w:color w:val="auto"/>
                <w:w w:val="90"/>
              </w:rPr>
              <w:t>Amended and Restated 2007 Employee Stock Purchase Plan (as amended and restated on July 21, 2016 incorporated as Exhibit 10.2 to the</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10-Q, for the quarter ended July 2, 2016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48">
              <w:r>
                <w:rPr>
                  <w:rFonts w:ascii="Arial" w:cs="Arial" w:eastAsia="Arial" w:hAnsi="Arial"/>
                  <w:sz w:val="18"/>
                  <w:szCs w:val="18"/>
                  <w:color w:val="0000FF"/>
                </w:rPr>
                <w:t>10AH*†</w:t>
              </w:r>
            </w:hyperlink>
          </w:p>
        </w:tc>
        <w:tc>
          <w:tcPr>
            <w:tcW w:w="10140" w:type="dxa"/>
            <w:vAlign w:val="bottom"/>
          </w:tcPr>
          <w:p>
            <w:pPr>
              <w:spacing w:after="0"/>
              <w:rPr>
                <w:sz w:val="20"/>
                <w:szCs w:val="20"/>
                <w:color w:val="auto"/>
              </w:rPr>
            </w:pPr>
            <w:r>
              <w:rPr>
                <w:rFonts w:ascii="Arial" w:cs="Arial" w:eastAsia="Arial" w:hAnsi="Arial"/>
                <w:sz w:val="18"/>
                <w:szCs w:val="18"/>
                <w:color w:val="auto"/>
                <w:w w:val="91"/>
              </w:rPr>
              <w:t>Amended and Restated Non-Qualified Deferred Compensation Plan as amended and restated on July 24, 2013 (filed as Exhibit 10.2 to the</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8-K dated July 26, 2013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49">
              <w:r>
                <w:rPr>
                  <w:rFonts w:ascii="Arial" w:cs="Arial" w:eastAsia="Arial" w:hAnsi="Arial"/>
                  <w:sz w:val="18"/>
                  <w:szCs w:val="18"/>
                  <w:color w:val="0000FF"/>
                </w:rPr>
                <w:t>10AI*†</w:t>
              </w:r>
            </w:hyperlink>
          </w:p>
        </w:tc>
        <w:tc>
          <w:tcPr>
            <w:tcW w:w="10140" w:type="dxa"/>
            <w:vAlign w:val="bottom"/>
          </w:tcPr>
          <w:p>
            <w:pPr>
              <w:spacing w:after="0"/>
              <w:rPr>
                <w:sz w:val="20"/>
                <w:szCs w:val="20"/>
                <w:color w:val="auto"/>
              </w:rPr>
            </w:pPr>
            <w:r>
              <w:rPr>
                <w:rFonts w:ascii="Arial" w:cs="Arial" w:eastAsia="Arial" w:hAnsi="Arial"/>
                <w:sz w:val="18"/>
                <w:szCs w:val="18"/>
                <w:color w:val="auto"/>
                <w:w w:val="91"/>
              </w:rPr>
              <w:t>Employment Agreement effective as of May 16, 2016 between the Company and Christopher Simon (filed as Exhibit 10.1 to the Company’s</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8-K dated May 10, 2016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50">
              <w:r>
                <w:rPr>
                  <w:rFonts w:ascii="Arial" w:cs="Arial" w:eastAsia="Arial" w:hAnsi="Arial"/>
                  <w:sz w:val="18"/>
                  <w:szCs w:val="18"/>
                  <w:color w:val="0000FF"/>
                </w:rPr>
                <w:t>10AJ*†</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Executive Severance Agreement between the Company and Christopher A. Simon dated as of November 7, 2017 (filed as Exhibit 10.4 to</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the Company’s Form 10-Q dated for the quarter ended September 30, 2017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51">
              <w:r>
                <w:rPr>
                  <w:rFonts w:ascii="Arial" w:cs="Arial" w:eastAsia="Arial" w:hAnsi="Arial"/>
                  <w:sz w:val="18"/>
                  <w:szCs w:val="18"/>
                  <w:color w:val="0000FF"/>
                </w:rPr>
                <w:t>10AK*†</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Change in Control Agreement between the Company and Christopher A. Simon dated as of November 7, 2017 (filed as Exhibit 10.5 to the</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8-K dated 10-Q dated for the quarter ended September 30, 2017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52">
              <w:r>
                <w:rPr>
                  <w:rFonts w:ascii="Arial" w:cs="Arial" w:eastAsia="Arial" w:hAnsi="Arial"/>
                  <w:sz w:val="18"/>
                  <w:szCs w:val="18"/>
                  <w:color w:val="0000FF"/>
                </w:rPr>
                <w:t>10AL*†</w:t>
              </w:r>
            </w:hyperlink>
          </w:p>
        </w:tc>
        <w:tc>
          <w:tcPr>
            <w:tcW w:w="10140" w:type="dxa"/>
            <w:vAlign w:val="bottom"/>
          </w:tcPr>
          <w:p>
            <w:pPr>
              <w:spacing w:after="0"/>
              <w:rPr>
                <w:sz w:val="20"/>
                <w:szCs w:val="20"/>
                <w:color w:val="auto"/>
              </w:rPr>
            </w:pPr>
            <w:r>
              <w:rPr>
                <w:rFonts w:ascii="Arial" w:cs="Arial" w:eastAsia="Arial" w:hAnsi="Arial"/>
                <w:sz w:val="18"/>
                <w:szCs w:val="18"/>
                <w:color w:val="auto"/>
                <w:w w:val="93"/>
              </w:rPr>
              <w:t>Form of Executive Severance Agreement between the Company and executive officers other than Christopher A. Simon (filed as Exhibit</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10.2 to the Company’s Form 10-Q for the quarter ended September 30, 2017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53">
              <w:r>
                <w:rPr>
                  <w:rFonts w:ascii="Arial" w:cs="Arial" w:eastAsia="Arial" w:hAnsi="Arial"/>
                  <w:sz w:val="18"/>
                  <w:szCs w:val="18"/>
                  <w:color w:val="0000FF"/>
                </w:rPr>
                <w:t>10AM*†</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Form of Change in Control Agreement between the Company and executive officers other than Christopher A. Simon (filed as Exhibit 10.3</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to the Company’s Form 10-Q for the quarter ended September 30, 2017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54">
              <w:r>
                <w:rPr>
                  <w:rFonts w:ascii="Arial" w:cs="Arial" w:eastAsia="Arial" w:hAnsi="Arial"/>
                  <w:sz w:val="18"/>
                  <w:szCs w:val="18"/>
                  <w:color w:val="0000FF"/>
                </w:rPr>
                <w:t>10AN*†</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Haemonetics Corporation Worldwide Executive Bonus Plan with an Effective Date of April 3, 2016 (filed as Exhibit 10.3 to the Company’s</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10-Q for the quarter ended July 2, 2016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55">
              <w:r>
                <w:rPr>
                  <w:rFonts w:ascii="Arial" w:cs="Arial" w:eastAsia="Arial" w:hAnsi="Arial"/>
                  <w:sz w:val="18"/>
                  <w:szCs w:val="18"/>
                  <w:color w:val="0000FF"/>
                </w:rPr>
                <w:t>10AO*†</w:t>
              </w:r>
            </w:hyperlink>
          </w:p>
        </w:tc>
        <w:tc>
          <w:tcPr>
            <w:tcW w:w="10140" w:type="dxa"/>
            <w:vAlign w:val="bottom"/>
          </w:tcPr>
          <w:p>
            <w:pPr>
              <w:spacing w:after="0"/>
              <w:rPr>
                <w:sz w:val="20"/>
                <w:szCs w:val="20"/>
                <w:color w:val="auto"/>
              </w:rPr>
            </w:pPr>
            <w:r>
              <w:rPr>
                <w:rFonts w:ascii="Arial" w:cs="Arial" w:eastAsia="Arial" w:hAnsi="Arial"/>
                <w:sz w:val="18"/>
                <w:szCs w:val="18"/>
                <w:color w:val="auto"/>
                <w:w w:val="91"/>
              </w:rPr>
              <w:t>Haemonetics Corporation Worldwide Employee Bonus Plan (as amended and restated effective April 23, 2019) (filed as Exhibit 10.1 to the</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8-K dated April 29, 2019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56">
              <w:r>
                <w:rPr>
                  <w:rFonts w:ascii="Arial" w:cs="Arial" w:eastAsia="Arial" w:hAnsi="Arial"/>
                  <w:sz w:val="18"/>
                  <w:szCs w:val="18"/>
                  <w:color w:val="0000FF"/>
                </w:rPr>
                <w:t>10AP*†</w:t>
              </w:r>
            </w:hyperlink>
          </w:p>
        </w:tc>
        <w:tc>
          <w:tcPr>
            <w:tcW w:w="10140" w:type="dxa"/>
            <w:vAlign w:val="bottom"/>
          </w:tcPr>
          <w:p>
            <w:pPr>
              <w:spacing w:after="0"/>
              <w:rPr>
                <w:sz w:val="20"/>
                <w:szCs w:val="20"/>
                <w:color w:val="auto"/>
              </w:rPr>
            </w:pPr>
            <w:r>
              <w:rPr>
                <w:rFonts w:ascii="Arial" w:cs="Arial" w:eastAsia="Arial" w:hAnsi="Arial"/>
                <w:sz w:val="18"/>
                <w:szCs w:val="18"/>
                <w:color w:val="auto"/>
                <w:w w:val="90"/>
              </w:rPr>
              <w:t>Amended and Restated Performance Share Unit Agreement between Haemonetics Corporation and Christopher Simon dated June 6, 2017,</w:t>
            </w:r>
          </w:p>
        </w:tc>
      </w:tr>
      <w:tr>
        <w:trPr>
          <w:trHeight w:val="222"/>
        </w:trPr>
        <w:tc>
          <w:tcPr>
            <w:tcW w:w="40" w:type="dxa"/>
            <w:vAlign w:val="bottom"/>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amending and restating Performance Share Unit Agreement dated June 29, 2016 (filed as Exhibit 10.2 to the Company’s Form 10-Q for the</w:t>
            </w:r>
          </w:p>
        </w:tc>
      </w:t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quarter ended July 1, 2017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57">
              <w:r>
                <w:rPr>
                  <w:rFonts w:ascii="Arial" w:cs="Arial" w:eastAsia="Arial" w:hAnsi="Arial"/>
                  <w:sz w:val="18"/>
                  <w:szCs w:val="18"/>
                  <w:color w:val="0000FF"/>
                </w:rPr>
                <w:t>10AQ*†</w:t>
              </w:r>
            </w:hyperlink>
          </w:p>
        </w:tc>
        <w:tc>
          <w:tcPr>
            <w:tcW w:w="10140" w:type="dxa"/>
            <w:vAlign w:val="bottom"/>
          </w:tcPr>
          <w:p>
            <w:pPr>
              <w:spacing w:after="0"/>
              <w:rPr>
                <w:sz w:val="20"/>
                <w:szCs w:val="20"/>
                <w:color w:val="auto"/>
              </w:rPr>
            </w:pPr>
            <w:r>
              <w:rPr>
                <w:rFonts w:ascii="Arial" w:cs="Arial" w:eastAsia="Arial" w:hAnsi="Arial"/>
                <w:sz w:val="18"/>
                <w:szCs w:val="18"/>
                <w:color w:val="auto"/>
                <w:w w:val="94"/>
              </w:rPr>
              <w:t>Form of Performance Share Unit Agreement Under 2005 Long-Term Incentive Compensation Plan (Internal Financial Metrics, adopted</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fiscal 2018) (filed as Exhibit 10.3 to the Company’s Form 10-Q for the quarter ended July 1, 2017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58">
              <w:r>
                <w:rPr>
                  <w:rFonts w:ascii="Arial" w:cs="Arial" w:eastAsia="Arial" w:hAnsi="Arial"/>
                  <w:sz w:val="18"/>
                  <w:szCs w:val="18"/>
                  <w:color w:val="0000FF"/>
                </w:rPr>
                <w:t>10AR*†</w:t>
              </w:r>
            </w:hyperlink>
          </w:p>
        </w:tc>
        <w:tc>
          <w:tcPr>
            <w:tcW w:w="10140" w:type="dxa"/>
            <w:vAlign w:val="bottom"/>
          </w:tcPr>
          <w:p>
            <w:pPr>
              <w:spacing w:after="0"/>
              <w:rPr>
                <w:sz w:val="20"/>
                <w:szCs w:val="20"/>
                <w:color w:val="auto"/>
              </w:rPr>
            </w:pPr>
            <w:r>
              <w:rPr>
                <w:rFonts w:ascii="Arial" w:cs="Arial" w:eastAsia="Arial" w:hAnsi="Arial"/>
                <w:sz w:val="18"/>
                <w:szCs w:val="18"/>
                <w:color w:val="auto"/>
                <w:w w:val="94"/>
              </w:rPr>
              <w:t>Form of Performance Share Unit Agreement Under 2005 Long-Term Incentive Compensation Plan (rTSR Metrics, adopted fiscal 2015)</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6"/>
              </w:rPr>
              <w:t>(filed as Exhibit 10AP to the Company’s Form 10-K for the fiscal year ended March 28, 2015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59">
              <w:r>
                <w:rPr>
                  <w:rFonts w:ascii="Arial" w:cs="Arial" w:eastAsia="Arial" w:hAnsi="Arial"/>
                  <w:sz w:val="18"/>
                  <w:szCs w:val="18"/>
                  <w:color w:val="0000FF"/>
                </w:rPr>
                <w:t>10AS*†</w:t>
              </w:r>
            </w:hyperlink>
          </w:p>
        </w:tc>
        <w:tc>
          <w:tcPr>
            <w:tcW w:w="10140" w:type="dxa"/>
            <w:vAlign w:val="bottom"/>
          </w:tcPr>
          <w:p>
            <w:pPr>
              <w:spacing w:after="0"/>
              <w:rPr>
                <w:sz w:val="20"/>
                <w:szCs w:val="20"/>
                <w:color w:val="auto"/>
              </w:rPr>
            </w:pPr>
            <w:r>
              <w:rPr>
                <w:rFonts w:ascii="Arial" w:cs="Arial" w:eastAsia="Arial" w:hAnsi="Arial"/>
                <w:sz w:val="18"/>
                <w:szCs w:val="18"/>
                <w:color w:val="auto"/>
                <w:w w:val="94"/>
              </w:rPr>
              <w:t>Form of Performance Share Unit Agreement Under 2005 Long-Term Incentive Compensation Plan (rTSR Metrics, adopted fiscal 2017)</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as Exhibit 10AN to the Company's Form 10-K for the year ended March 31, 2018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60">
              <w:r>
                <w:rPr>
                  <w:rFonts w:ascii="Arial" w:cs="Arial" w:eastAsia="Arial" w:hAnsi="Arial"/>
                  <w:sz w:val="18"/>
                  <w:szCs w:val="18"/>
                  <w:color w:val="0000FF"/>
                </w:rPr>
                <w:t>10AT*†</w:t>
              </w:r>
            </w:hyperlink>
          </w:p>
        </w:tc>
        <w:tc>
          <w:tcPr>
            <w:tcW w:w="10140" w:type="dxa"/>
            <w:vAlign w:val="bottom"/>
          </w:tcPr>
          <w:p>
            <w:pPr>
              <w:spacing w:after="0"/>
              <w:rPr>
                <w:sz w:val="20"/>
                <w:szCs w:val="20"/>
                <w:color w:val="auto"/>
              </w:rPr>
            </w:pPr>
            <w:r>
              <w:rPr>
                <w:rFonts w:ascii="Arial" w:cs="Arial" w:eastAsia="Arial" w:hAnsi="Arial"/>
                <w:sz w:val="18"/>
                <w:szCs w:val="18"/>
                <w:color w:val="auto"/>
                <w:w w:val="94"/>
              </w:rPr>
              <w:t>Form of Performance Share Unit Agreement Under 2005 Long-Term Incentive Compensation Plan (rTSR Metrics, adopted fiscal 2018)</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as Exhibit 10AO to the Company's Form 10-K, for the year ended March 31, 2018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r:id="rId61">
              <w:r>
                <w:rPr>
                  <w:rFonts w:ascii="Arial" w:cs="Arial" w:eastAsia="Arial" w:hAnsi="Arial"/>
                  <w:sz w:val="18"/>
                  <w:szCs w:val="18"/>
                  <w:color w:val="0000FF"/>
                </w:rPr>
                <w:t>10AU*†</w:t>
              </w:r>
            </w:hyperlink>
          </w:p>
        </w:tc>
        <w:tc>
          <w:tcPr>
            <w:tcW w:w="10140" w:type="dxa"/>
            <w:vAlign w:val="bottom"/>
          </w:tcPr>
          <w:p>
            <w:pPr>
              <w:spacing w:after="0"/>
              <w:rPr>
                <w:sz w:val="20"/>
                <w:szCs w:val="20"/>
                <w:color w:val="auto"/>
              </w:rPr>
            </w:pPr>
            <w:r>
              <w:rPr>
                <w:rFonts w:ascii="Arial" w:cs="Arial" w:eastAsia="Arial" w:hAnsi="Arial"/>
                <w:sz w:val="18"/>
                <w:szCs w:val="18"/>
                <w:color w:val="auto"/>
                <w:w w:val="94"/>
              </w:rPr>
              <w:t>Form of Performance Share Unit Agreement Under 2005 Long-Term Incentive Compensation Plan (rTSR Metrics, adopted fiscal 2019)</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as Exhibit 10.3 to the Company's Form 10-Q for the quarter ended June 30, 2018 and incorporated herein by reference).</w:t>
            </w:r>
          </w:p>
        </w:tc>
      </w:tr>
      <w:tr>
        <w:trPr>
          <w:trHeight w:val="230"/>
        </w:trPr>
        <w:tc>
          <w:tcPr>
            <w:tcW w:w="1180" w:type="dxa"/>
            <w:vAlign w:val="bottom"/>
            <w:gridSpan w:val="9"/>
          </w:tcPr>
          <w:p>
            <w:pPr>
              <w:ind w:left="40"/>
              <w:spacing w:after="0"/>
              <w:rPr>
                <w:rFonts w:ascii="Arial" w:cs="Arial" w:eastAsia="Arial" w:hAnsi="Arial"/>
                <w:sz w:val="18"/>
                <w:szCs w:val="18"/>
                <w:color w:val="0000FF"/>
              </w:rPr>
            </w:pPr>
            <w:hyperlink w:anchor="page98">
              <w:r>
                <w:rPr>
                  <w:rFonts w:ascii="Arial" w:cs="Arial" w:eastAsia="Arial" w:hAnsi="Arial"/>
                  <w:sz w:val="18"/>
                  <w:szCs w:val="18"/>
                  <w:color w:val="0000FF"/>
                </w:rPr>
                <w:t>10AV*†</w:t>
              </w:r>
            </w:hyperlink>
          </w:p>
        </w:tc>
        <w:tc>
          <w:tcPr>
            <w:tcW w:w="10140" w:type="dxa"/>
            <w:vAlign w:val="bottom"/>
          </w:tcPr>
          <w:p>
            <w:pPr>
              <w:spacing w:after="0"/>
              <w:rPr>
                <w:sz w:val="20"/>
                <w:szCs w:val="20"/>
                <w:color w:val="auto"/>
              </w:rPr>
            </w:pPr>
            <w:r>
              <w:rPr>
                <w:rFonts w:ascii="Arial" w:cs="Arial" w:eastAsia="Arial" w:hAnsi="Arial"/>
                <w:sz w:val="18"/>
                <w:szCs w:val="18"/>
                <w:color w:val="auto"/>
                <w:w w:val="94"/>
              </w:rPr>
              <w:t>Form of Performance Share Unit Agreement Under 2005 Long-Term Incentive Compensation Plan (rTSR Metrics, adopted fiscal 2020)</w:t>
            </w:r>
          </w:p>
        </w:tc>
      </w:tr>
      <w:tr>
        <w:trPr>
          <w:trHeight w:val="237"/>
        </w:trPr>
        <w:tc>
          <w:tcPr>
            <w:tcW w:w="4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herewith as Exhibit 10AV to the Company's Form 10-K, for the year ended March 30, 2019).</w:t>
            </w:r>
          </w:p>
        </w:tc>
      </w:tr>
      <w:tr>
        <w:trPr>
          <w:trHeight w:val="486"/>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Pr>
          <w:p>
            <w:pPr>
              <w:ind w:left="4440"/>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1320"/>
          </w:cols>
          <w:pgMar w:left="240" w:top="118" w:right="3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588"/>
        </w:trPr>
        <w:tc>
          <w:tcPr>
            <w:tcW w:w="40" w:type="dxa"/>
            <w:vAlign w:val="bottom"/>
          </w:tcPr>
          <w:p>
            <w:pPr>
              <w:spacing w:after="0"/>
              <w:rPr>
                <w:sz w:val="24"/>
                <w:szCs w:val="24"/>
                <w:color w:val="auto"/>
              </w:rPr>
            </w:pPr>
          </w:p>
        </w:tc>
        <w:tc>
          <w:tcPr>
            <w:tcW w:w="1140" w:type="dxa"/>
            <w:vAlign w:val="bottom"/>
            <w:gridSpan w:val="7"/>
          </w:tcPr>
          <w:p>
            <w:pPr>
              <w:spacing w:after="0"/>
              <w:rPr>
                <w:rFonts w:ascii="Arial" w:cs="Arial" w:eastAsia="Arial" w:hAnsi="Arial"/>
                <w:sz w:val="18"/>
                <w:szCs w:val="18"/>
                <w:color w:val="0000FF"/>
              </w:rPr>
            </w:pPr>
            <w:hyperlink r:id="rId62">
              <w:r>
                <w:rPr>
                  <w:rFonts w:ascii="Arial" w:cs="Arial" w:eastAsia="Arial" w:hAnsi="Arial"/>
                  <w:sz w:val="18"/>
                  <w:szCs w:val="18"/>
                  <w:color w:val="0000FF"/>
                </w:rPr>
                <w:t>10AW*†</w:t>
              </w:r>
            </w:hyperlink>
          </w:p>
        </w:tc>
        <w:tc>
          <w:tcPr>
            <w:tcW w:w="10140" w:type="dxa"/>
            <w:vAlign w:val="bottom"/>
          </w:tcPr>
          <w:p>
            <w:pPr>
              <w:spacing w:after="0"/>
              <w:rPr>
                <w:sz w:val="20"/>
                <w:szCs w:val="20"/>
                <w:color w:val="auto"/>
              </w:rPr>
            </w:pPr>
            <w:r>
              <w:rPr>
                <w:rFonts w:ascii="Arial" w:cs="Arial" w:eastAsia="Arial" w:hAnsi="Arial"/>
                <w:sz w:val="18"/>
                <w:szCs w:val="18"/>
                <w:color w:val="auto"/>
                <w:w w:val="93"/>
              </w:rPr>
              <w:t>Agreement and General Release between Haemonetics Corporation and Byron Selman dated May 1, 2017 (filed as Exhibit 10AH to the</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fiscal year ended April 1, 2017 and incorporated herein by reference).</w:t>
            </w:r>
          </w:p>
        </w:tc>
      </w:tr>
      <w:tr>
        <w:trPr>
          <w:trHeight w:val="230"/>
        </w:trPr>
        <w:tc>
          <w:tcPr>
            <w:tcW w:w="40" w:type="dxa"/>
            <w:vAlign w:val="bottom"/>
          </w:tcPr>
          <w:p>
            <w:pPr>
              <w:spacing w:after="0"/>
              <w:rPr>
                <w:sz w:val="19"/>
                <w:szCs w:val="19"/>
                <w:color w:val="auto"/>
              </w:rPr>
            </w:pPr>
          </w:p>
        </w:tc>
        <w:tc>
          <w:tcPr>
            <w:tcW w:w="1140" w:type="dxa"/>
            <w:vAlign w:val="bottom"/>
            <w:gridSpan w:val="7"/>
          </w:tcPr>
          <w:p>
            <w:pPr>
              <w:spacing w:after="0"/>
              <w:rPr>
                <w:rFonts w:ascii="Arial" w:cs="Arial" w:eastAsia="Arial" w:hAnsi="Arial"/>
                <w:sz w:val="18"/>
                <w:szCs w:val="18"/>
                <w:color w:val="0000FF"/>
              </w:rPr>
            </w:pPr>
            <w:hyperlink r:id="rId63">
              <w:r>
                <w:rPr>
                  <w:rFonts w:ascii="Arial" w:cs="Arial" w:eastAsia="Arial" w:hAnsi="Arial"/>
                  <w:sz w:val="18"/>
                  <w:szCs w:val="18"/>
                  <w:color w:val="0000FF"/>
                </w:rPr>
                <w:t>10AX*</w:t>
              </w:r>
            </w:hyperlink>
          </w:p>
        </w:tc>
        <w:tc>
          <w:tcPr>
            <w:tcW w:w="10140" w:type="dxa"/>
            <w:vAlign w:val="bottom"/>
          </w:tcPr>
          <w:p>
            <w:pPr>
              <w:spacing w:after="0"/>
              <w:rPr>
                <w:sz w:val="20"/>
                <w:szCs w:val="20"/>
                <w:color w:val="auto"/>
              </w:rPr>
            </w:pPr>
            <w:r>
              <w:rPr>
                <w:rFonts w:ascii="Arial" w:cs="Arial" w:eastAsia="Arial" w:hAnsi="Arial"/>
                <w:sz w:val="18"/>
                <w:szCs w:val="18"/>
                <w:color w:val="auto"/>
                <w:w w:val="95"/>
              </w:rPr>
              <w:t>Form of Indemnification Agreement (as executed with each director and executive officer of the Company) (filed as Exhibit 10.1 to the</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10-Q for the quarter ended September 29, 2018 and incorporated herein by reference).</w:t>
            </w:r>
          </w:p>
        </w:tc>
      </w:tr>
      <w:tr>
        <w:trPr>
          <w:trHeight w:val="230"/>
        </w:trPr>
        <w:tc>
          <w:tcPr>
            <w:tcW w:w="40" w:type="dxa"/>
            <w:vAlign w:val="bottom"/>
          </w:tcPr>
          <w:p>
            <w:pPr>
              <w:spacing w:after="0"/>
              <w:rPr>
                <w:sz w:val="19"/>
                <w:szCs w:val="19"/>
                <w:color w:val="auto"/>
              </w:rPr>
            </w:pPr>
          </w:p>
        </w:tc>
        <w:tc>
          <w:tcPr>
            <w:tcW w:w="1140" w:type="dxa"/>
            <w:vAlign w:val="bottom"/>
            <w:gridSpan w:val="7"/>
          </w:tcPr>
          <w:p>
            <w:pPr>
              <w:spacing w:after="0"/>
              <w:rPr>
                <w:rFonts w:ascii="Arial" w:cs="Arial" w:eastAsia="Arial" w:hAnsi="Arial"/>
                <w:sz w:val="18"/>
                <w:szCs w:val="18"/>
                <w:color w:val="0000FF"/>
              </w:rPr>
            </w:pPr>
            <w:hyperlink r:id="rId64">
              <w:r>
                <w:rPr>
                  <w:rFonts w:ascii="Arial" w:cs="Arial" w:eastAsia="Arial" w:hAnsi="Arial"/>
                  <w:sz w:val="18"/>
                  <w:szCs w:val="18"/>
                  <w:color w:val="0000FF"/>
                </w:rPr>
                <w:t>10AY*</w:t>
              </w:r>
            </w:hyperlink>
          </w:p>
        </w:tc>
        <w:tc>
          <w:tcPr>
            <w:tcW w:w="10140" w:type="dxa"/>
            <w:vAlign w:val="bottom"/>
          </w:tcPr>
          <w:p>
            <w:pPr>
              <w:spacing w:after="0"/>
              <w:rPr>
                <w:sz w:val="20"/>
                <w:szCs w:val="20"/>
                <w:color w:val="auto"/>
              </w:rPr>
            </w:pPr>
            <w:r>
              <w:rPr>
                <w:rFonts w:ascii="Arial" w:cs="Arial" w:eastAsia="Arial" w:hAnsi="Arial"/>
                <w:sz w:val="18"/>
                <w:szCs w:val="18"/>
                <w:color w:val="auto"/>
                <w:w w:val="90"/>
              </w:rPr>
              <w:t>Asset Purchase Agreement, dated as of April 28, 2012, by and between Haemonetics Corporation and Pall Corporation (filed as Exhibit 10Z</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to the Company's Form 10-K for the fiscal year ended March 31, 2012 and incorporated herein by reference).</w:t>
            </w:r>
          </w:p>
        </w:tc>
      </w:tr>
      <w:tr>
        <w:trPr>
          <w:trHeight w:val="230"/>
        </w:trPr>
        <w:tc>
          <w:tcPr>
            <w:tcW w:w="40" w:type="dxa"/>
            <w:vAlign w:val="bottom"/>
          </w:tcPr>
          <w:p>
            <w:pPr>
              <w:spacing w:after="0"/>
              <w:rPr>
                <w:sz w:val="19"/>
                <w:szCs w:val="19"/>
                <w:color w:val="auto"/>
              </w:rPr>
            </w:pPr>
          </w:p>
        </w:tc>
        <w:tc>
          <w:tcPr>
            <w:tcW w:w="1140" w:type="dxa"/>
            <w:vAlign w:val="bottom"/>
            <w:gridSpan w:val="7"/>
          </w:tcPr>
          <w:p>
            <w:pPr>
              <w:spacing w:after="0"/>
              <w:rPr>
                <w:rFonts w:ascii="Arial" w:cs="Arial" w:eastAsia="Arial" w:hAnsi="Arial"/>
                <w:sz w:val="18"/>
                <w:szCs w:val="18"/>
                <w:color w:val="0000FF"/>
              </w:rPr>
            </w:pPr>
            <w:hyperlink r:id="rId65">
              <w:r>
                <w:rPr>
                  <w:rFonts w:ascii="Arial" w:cs="Arial" w:eastAsia="Arial" w:hAnsi="Arial"/>
                  <w:sz w:val="18"/>
                  <w:szCs w:val="18"/>
                  <w:color w:val="0000FF"/>
                </w:rPr>
                <w:t>10AZ*‡</w:t>
              </w:r>
            </w:hyperlink>
          </w:p>
        </w:tc>
        <w:tc>
          <w:tcPr>
            <w:tcW w:w="10140" w:type="dxa"/>
            <w:vAlign w:val="bottom"/>
          </w:tcPr>
          <w:p>
            <w:pPr>
              <w:spacing w:after="0"/>
              <w:rPr>
                <w:sz w:val="20"/>
                <w:szCs w:val="20"/>
                <w:color w:val="auto"/>
              </w:rPr>
            </w:pPr>
            <w:r>
              <w:rPr>
                <w:rFonts w:ascii="Arial" w:cs="Arial" w:eastAsia="Arial" w:hAnsi="Arial"/>
                <w:sz w:val="18"/>
                <w:szCs w:val="18"/>
                <w:color w:val="auto"/>
                <w:w w:val="92"/>
              </w:rPr>
              <w:t>Second Amended and Restated License Agreement by and among Cora Healthcare, Inc., CoraMed Technologies, LLC, and Haemonetics</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Corporation dated August 14, 2013 (filed as Exhibit 10.1 to the Company’s Form 10-Q for the quarter ended July 1, 2017 and incorporated</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230"/>
        </w:trPr>
        <w:tc>
          <w:tcPr>
            <w:tcW w:w="40" w:type="dxa"/>
            <w:vAlign w:val="bottom"/>
          </w:tcPr>
          <w:p>
            <w:pPr>
              <w:spacing w:after="0"/>
              <w:rPr>
                <w:sz w:val="19"/>
                <w:szCs w:val="19"/>
                <w:color w:val="auto"/>
              </w:rPr>
            </w:pPr>
          </w:p>
        </w:tc>
        <w:tc>
          <w:tcPr>
            <w:tcW w:w="1140" w:type="dxa"/>
            <w:vAlign w:val="bottom"/>
            <w:gridSpan w:val="7"/>
          </w:tcPr>
          <w:p>
            <w:pPr>
              <w:spacing w:after="0"/>
              <w:rPr>
                <w:rFonts w:ascii="Arial" w:cs="Arial" w:eastAsia="Arial" w:hAnsi="Arial"/>
                <w:sz w:val="18"/>
                <w:szCs w:val="18"/>
                <w:color w:val="0000FF"/>
              </w:rPr>
            </w:pPr>
            <w:hyperlink r:id="rId66">
              <w:r>
                <w:rPr>
                  <w:rFonts w:ascii="Arial" w:cs="Arial" w:eastAsia="Arial" w:hAnsi="Arial"/>
                  <w:sz w:val="18"/>
                  <w:szCs w:val="18"/>
                  <w:color w:val="0000FF"/>
                </w:rPr>
                <w:t>10BA*</w:t>
              </w:r>
            </w:hyperlink>
          </w:p>
        </w:tc>
        <w:tc>
          <w:tcPr>
            <w:tcW w:w="10140" w:type="dxa"/>
            <w:vAlign w:val="bottom"/>
          </w:tcPr>
          <w:p>
            <w:pPr>
              <w:spacing w:after="0"/>
              <w:rPr>
                <w:sz w:val="20"/>
                <w:szCs w:val="20"/>
                <w:color w:val="auto"/>
              </w:rPr>
            </w:pPr>
            <w:r>
              <w:rPr>
                <w:rFonts w:ascii="Arial" w:cs="Arial" w:eastAsia="Arial" w:hAnsi="Arial"/>
                <w:sz w:val="18"/>
                <w:szCs w:val="18"/>
                <w:color w:val="auto"/>
                <w:w w:val="93"/>
              </w:rPr>
              <w:t>Credit Agreement, dated as of June 15, 2018, by and among Haemonetics Corporation, the Lenders from time to time party thereto and</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9"/>
              </w:rPr>
              <w:t>JPMorgan Chase Bank, N.A., as Administrative Agent (filed as Exhibit 10.1 to the Company’s Form 8-K dated July 18, 2018 and</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594"/>
        </w:trPr>
        <w:tc>
          <w:tcPr>
            <w:tcW w:w="40" w:type="dxa"/>
            <w:vAlign w:val="bottom"/>
          </w:tcPr>
          <w:p>
            <w:pPr>
              <w:spacing w:after="0"/>
              <w:rPr>
                <w:sz w:val="24"/>
                <w:szCs w:val="24"/>
                <w:color w:val="auto"/>
              </w:rPr>
            </w:pPr>
          </w:p>
        </w:tc>
        <w:tc>
          <w:tcPr>
            <w:tcW w:w="11280" w:type="dxa"/>
            <w:vAlign w:val="bottom"/>
            <w:gridSpan w:val="8"/>
          </w:tcPr>
          <w:p>
            <w:pPr>
              <w:spacing w:after="0"/>
              <w:rPr>
                <w:sz w:val="20"/>
                <w:szCs w:val="20"/>
                <w:color w:val="auto"/>
              </w:rPr>
            </w:pPr>
            <w:r>
              <w:rPr>
                <w:rFonts w:ascii="Arial" w:cs="Arial" w:eastAsia="Arial" w:hAnsi="Arial"/>
                <w:sz w:val="18"/>
                <w:szCs w:val="18"/>
                <w:b w:val="1"/>
                <w:bCs w:val="1"/>
                <w:color w:val="auto"/>
              </w:rPr>
              <w:t>4. Subsidiaries Certifications and Consents</w:t>
            </w:r>
          </w:p>
        </w:tc>
      </w:tr>
      <w:tr>
        <w:trPr>
          <w:trHeight w:val="230"/>
        </w:trPr>
        <w:tc>
          <w:tcPr>
            <w:tcW w:w="360" w:type="dxa"/>
            <w:vAlign w:val="bottom"/>
            <w:gridSpan w:val="2"/>
          </w:tcPr>
          <w:p>
            <w:pPr>
              <w:ind w:left="40"/>
              <w:spacing w:after="0"/>
              <w:rPr>
                <w:rFonts w:ascii="Arial" w:cs="Arial" w:eastAsia="Arial" w:hAnsi="Arial"/>
                <w:sz w:val="18"/>
                <w:szCs w:val="18"/>
                <w:color w:val="0000FF"/>
                <w:w w:val="79"/>
              </w:rPr>
            </w:pPr>
            <w:hyperlink w:anchor="page112">
              <w:r>
                <w:rPr>
                  <w:rFonts w:ascii="Arial" w:cs="Arial" w:eastAsia="Arial" w:hAnsi="Arial"/>
                  <w:sz w:val="18"/>
                  <w:szCs w:val="18"/>
                  <w:color w:val="0000FF"/>
                  <w:w w:val="79"/>
                </w:rPr>
                <w:t>21.</w:t>
              </w:r>
              <w:r>
                <w:rPr>
                  <w:rFonts w:ascii="Arial" w:cs="Arial" w:eastAsia="Arial" w:hAnsi="Arial"/>
                  <w:sz w:val="18"/>
                  <w:szCs w:val="18"/>
                  <w:u w:val="single" w:color="auto"/>
                  <w:color w:val="0000FF"/>
                  <w:w w:val="79"/>
                </w:rPr>
                <w:t>1</w:t>
              </w:r>
            </w:hyperlink>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Subsidiaries of the Company.</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79"/>
              </w:rPr>
            </w:pPr>
            <w:hyperlink w:anchor="page113">
              <w:r>
                <w:rPr>
                  <w:rFonts w:ascii="Arial" w:cs="Arial" w:eastAsia="Arial" w:hAnsi="Arial"/>
                  <w:sz w:val="18"/>
                  <w:szCs w:val="18"/>
                  <w:color w:val="0000FF"/>
                  <w:w w:val="79"/>
                </w:rPr>
                <w:t>23.</w:t>
              </w:r>
              <w:r>
                <w:rPr>
                  <w:rFonts w:ascii="Arial" w:cs="Arial" w:eastAsia="Arial" w:hAnsi="Arial"/>
                  <w:sz w:val="18"/>
                  <w:szCs w:val="18"/>
                  <w:u w:val="single" w:color="auto"/>
                  <w:color w:val="0000FF"/>
                  <w:w w:val="79"/>
                </w:rPr>
                <w:t>1</w:t>
              </w:r>
            </w:hyperlink>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Consent of the Independent Registered Public Accounting Firm.</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79"/>
              </w:rPr>
            </w:pPr>
            <w:hyperlink w:anchor="page114">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Certification pursuant to Section 302 of Sarbanes-Oxley Act of 2002, of Christopher Simon, President and Chief Executive Officer of the</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w:t>
            </w:r>
          </w:p>
        </w:tc>
      </w:tr>
      <w:tr>
        <w:trPr>
          <w:trHeight w:val="230"/>
        </w:trPr>
        <w:tc>
          <w:tcPr>
            <w:tcW w:w="360" w:type="dxa"/>
            <w:vAlign w:val="bottom"/>
            <w:gridSpan w:val="2"/>
          </w:tcPr>
          <w:p>
            <w:pPr>
              <w:ind w:left="40"/>
              <w:spacing w:after="0"/>
              <w:rPr>
                <w:rFonts w:ascii="Arial" w:cs="Arial" w:eastAsia="Arial" w:hAnsi="Arial"/>
                <w:sz w:val="18"/>
                <w:szCs w:val="18"/>
                <w:color w:val="0000FF"/>
                <w:w w:val="79"/>
              </w:rPr>
            </w:pPr>
            <w:hyperlink w:anchor="page115">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pursuant to Section 302 of Sarbanes-Oxley of 2002 of William Burke, Executive Vice President, Chief Financial Officer of the</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w:t>
            </w:r>
          </w:p>
        </w:tc>
      </w:tr>
      <w:tr>
        <w:trPr>
          <w:trHeight w:val="230"/>
        </w:trPr>
        <w:tc>
          <w:tcPr>
            <w:tcW w:w="360" w:type="dxa"/>
            <w:vAlign w:val="bottom"/>
            <w:gridSpan w:val="2"/>
          </w:tcPr>
          <w:p>
            <w:pPr>
              <w:ind w:left="40"/>
              <w:spacing w:after="0"/>
              <w:rPr>
                <w:rFonts w:ascii="Arial" w:cs="Arial" w:eastAsia="Arial" w:hAnsi="Arial"/>
                <w:sz w:val="18"/>
                <w:szCs w:val="18"/>
                <w:color w:val="0000FF"/>
                <w:w w:val="79"/>
              </w:rPr>
            </w:pPr>
            <w:hyperlink w:anchor="page116">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Christopher Simon, President and Chief Executive Officer of the Company.</w:t>
            </w:r>
          </w:p>
        </w:tc>
      </w:tr>
      <w:tr>
        <w:trPr>
          <w:trHeight w:val="230"/>
        </w:trPr>
        <w:tc>
          <w:tcPr>
            <w:tcW w:w="360" w:type="dxa"/>
            <w:vAlign w:val="bottom"/>
            <w:gridSpan w:val="2"/>
          </w:tcPr>
          <w:p>
            <w:pPr>
              <w:ind w:left="40"/>
              <w:spacing w:after="0"/>
              <w:rPr>
                <w:rFonts w:ascii="Arial" w:cs="Arial" w:eastAsia="Arial" w:hAnsi="Arial"/>
                <w:sz w:val="18"/>
                <w:szCs w:val="18"/>
                <w:color w:val="0000FF"/>
                <w:w w:val="79"/>
              </w:rPr>
            </w:pPr>
            <w:hyperlink w:anchor="page117">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William Burke, Executive Vice President, Chief Financial Officer of the Company.</w:t>
            </w:r>
          </w:p>
        </w:tc>
      </w:tr>
      <w:tr>
        <w:trPr>
          <w:trHeight w:val="256"/>
        </w:trPr>
        <w:tc>
          <w:tcPr>
            <w:tcW w:w="40" w:type="dxa"/>
            <w:vAlign w:val="bottom"/>
          </w:tcPr>
          <w:p>
            <w:pPr>
              <w:spacing w:after="0"/>
              <w:rPr>
                <w:sz w:val="22"/>
                <w:szCs w:val="22"/>
                <w:color w:val="auto"/>
              </w:rPr>
            </w:pPr>
          </w:p>
        </w:tc>
        <w:tc>
          <w:tcPr>
            <w:tcW w:w="1140" w:type="dxa"/>
            <w:vAlign w:val="bottom"/>
            <w:gridSpan w:val="7"/>
          </w:tcPr>
          <w:p>
            <w:pPr>
              <w:spacing w:after="0"/>
              <w:rPr>
                <w:sz w:val="20"/>
                <w:szCs w:val="20"/>
                <w:color w:val="auto"/>
              </w:rPr>
            </w:pPr>
            <w:r>
              <w:rPr>
                <w:rFonts w:ascii="Arial" w:cs="Arial" w:eastAsia="Arial" w:hAnsi="Arial"/>
                <w:sz w:val="18"/>
                <w:szCs w:val="18"/>
                <w:color w:val="auto"/>
              </w:rPr>
              <w:t>101ˆ</w:t>
            </w:r>
          </w:p>
        </w:tc>
        <w:tc>
          <w:tcPr>
            <w:tcW w:w="10140" w:type="dxa"/>
            <w:vAlign w:val="bottom"/>
          </w:tcPr>
          <w:p>
            <w:pPr>
              <w:spacing w:after="0"/>
              <w:rPr>
                <w:sz w:val="20"/>
                <w:szCs w:val="20"/>
                <w:color w:val="auto"/>
              </w:rPr>
            </w:pPr>
            <w:r>
              <w:rPr>
                <w:rFonts w:ascii="Arial" w:cs="Arial" w:eastAsia="Arial" w:hAnsi="Arial"/>
                <w:sz w:val="18"/>
                <w:szCs w:val="18"/>
                <w:color w:val="auto"/>
                <w:w w:val="92"/>
              </w:rPr>
              <w:t>The following materials from Haemonetics Corporation on Form 10-K for the year ended March 30, 2019, formatted in Extensive Business</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Reporting Language (XBRL): (i) Consolidated Statements of Income (Loss), (ii) Consolidated Statements of Comprehensive Income (Loss),</w:t>
            </w:r>
          </w:p>
        </w:tc>
      </w:tr>
    </w:tbl>
    <w:p>
      <w:pPr>
        <w:ind w:left="1500" w:hanging="317"/>
        <w:spacing w:after="0"/>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Consolidated Balance Sheets, (iv) Consolidated Statement of Stockholders' Equity, (v) Consolidated Statements of Cash Flows, and</w:t>
      </w:r>
    </w:p>
    <w:p>
      <w:pPr>
        <w:spacing w:after="0" w:line="32" w:lineRule="exact"/>
        <w:rPr>
          <w:rFonts w:ascii="Arial" w:cs="Arial" w:eastAsia="Arial" w:hAnsi="Arial"/>
          <w:sz w:val="16"/>
          <w:szCs w:val="16"/>
          <w:color w:val="auto"/>
        </w:rPr>
      </w:pPr>
    </w:p>
    <w:p>
      <w:pPr>
        <w:ind w:left="40" w:right="4840" w:firstLine="1143"/>
        <w:spacing w:after="0" w:line="383" w:lineRule="auto"/>
        <w:tabs>
          <w:tab w:leader="none" w:pos="14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Notes to Consolidated Financial Statements, tagged as blocks of text. * Incorporated by reference</w:t>
      </w:r>
    </w:p>
    <w:p>
      <w:pPr>
        <w:ind w:left="40"/>
        <w:spacing w:after="0"/>
        <w:rPr>
          <w:sz w:val="20"/>
          <w:szCs w:val="20"/>
          <w:color w:val="auto"/>
        </w:rPr>
      </w:pPr>
      <w:r>
        <w:rPr>
          <w:rFonts w:ascii="Arial" w:cs="Arial" w:eastAsia="Arial" w:hAnsi="Arial"/>
          <w:sz w:val="18"/>
          <w:szCs w:val="18"/>
          <w:color w:val="auto"/>
        </w:rPr>
        <w:t>†  Agreement, plan, or arrangement related to the compensation of officers or directors</w:t>
      </w:r>
    </w:p>
    <w:p>
      <w:pPr>
        <w:spacing w:after="0" w:line="63" w:lineRule="exact"/>
        <w:rPr>
          <w:sz w:val="20"/>
          <w:szCs w:val="20"/>
          <w:color w:val="auto"/>
        </w:rPr>
      </w:pPr>
    </w:p>
    <w:p>
      <w:pPr>
        <w:ind w:left="260" w:right="580" w:hanging="225"/>
        <w:spacing w:after="0" w:line="277"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requested as to portions of the exhibit. Confidential materials omitted and filed separately with the Securities and Exchange Commission.</w:t>
      </w:r>
    </w:p>
    <w:p>
      <w:pPr>
        <w:spacing w:after="0" w:line="8" w:lineRule="exact"/>
        <w:rPr>
          <w:sz w:val="20"/>
          <w:szCs w:val="20"/>
          <w:color w:val="auto"/>
        </w:rPr>
      </w:pPr>
    </w:p>
    <w:p>
      <w:pPr>
        <w:ind w:left="260" w:right="600" w:hanging="225"/>
        <w:spacing w:after="0" w:line="264"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10-K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20"/>
          </w:cols>
          <w:pgMar w:left="240" w:top="118" w:right="3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HAEMONETICS CORPORATION</w:t>
      </w:r>
    </w:p>
    <w:p>
      <w:pPr>
        <w:spacing w:after="0" w:line="360"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2019</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800" w:type="dxa"/>
            <w:vAlign w:val="bottom"/>
          </w:tcPr>
          <w:p>
            <w:pPr>
              <w:jc w:val="center"/>
              <w:ind w:left="231"/>
              <w:spacing w:after="0"/>
              <w:rPr>
                <w:sz w:val="20"/>
                <w:szCs w:val="20"/>
                <w:color w:val="auto"/>
              </w:rPr>
            </w:pPr>
            <w:r>
              <w:rPr>
                <w:rFonts w:ascii="Arial" w:cs="Arial" w:eastAsia="Arial" w:hAnsi="Arial"/>
                <w:sz w:val="14"/>
                <w:szCs w:val="14"/>
                <w:b w:val="1"/>
                <w:bCs w:val="1"/>
                <w:color w:val="auto"/>
                <w:w w:val="97"/>
              </w:rPr>
              <w:t>Title</w:t>
            </w:r>
          </w:p>
        </w:tc>
        <w:tc>
          <w:tcPr>
            <w:tcW w:w="1480" w:type="dxa"/>
            <w:vAlign w:val="bottom"/>
          </w:tcPr>
          <w:p>
            <w:pPr>
              <w:jc w:val="center"/>
              <w:ind w:left="37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71"/>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Christopher Simon</w:t>
            </w:r>
          </w:p>
        </w:tc>
        <w:tc>
          <w:tcPr>
            <w:tcW w:w="4800" w:type="dxa"/>
            <w:vAlign w:val="bottom"/>
          </w:tcPr>
          <w:p>
            <w:pPr>
              <w:jc w:val="center"/>
              <w:ind w:left="251"/>
              <w:spacing w:after="0"/>
              <w:rPr>
                <w:sz w:val="20"/>
                <w:szCs w:val="20"/>
                <w:color w:val="auto"/>
              </w:rPr>
            </w:pPr>
            <w:r>
              <w:rPr>
                <w:rFonts w:ascii="Arial" w:cs="Arial" w:eastAsia="Arial" w:hAnsi="Arial"/>
                <w:sz w:val="18"/>
                <w:szCs w:val="18"/>
                <w:color w:val="auto"/>
                <w:w w:val="91"/>
              </w:rPr>
              <w:t>President and Chief Executive Officer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vMerge w:val="restart"/>
          </w:tcPr>
          <w:p>
            <w:pPr>
              <w:jc w:val="center"/>
              <w:ind w:left="251"/>
              <w:spacing w:after="0"/>
              <w:rPr>
                <w:sz w:val="20"/>
                <w:szCs w:val="20"/>
                <w:color w:val="auto"/>
              </w:rPr>
            </w:pPr>
            <w:r>
              <w:rPr>
                <w:rFonts w:ascii="Arial" w:cs="Arial" w:eastAsia="Arial" w:hAnsi="Arial"/>
                <w:sz w:val="18"/>
                <w:szCs w:val="18"/>
                <w:color w:val="auto"/>
                <w:w w:val="94"/>
              </w:rPr>
              <w:t>(Principal Executive Officer)</w:t>
            </w: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Christopher Simon</w:t>
            </w:r>
          </w:p>
        </w:tc>
        <w:tc>
          <w:tcPr>
            <w:tcW w:w="480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5"/>
              </w:rPr>
              <w:t>/s/ William Burke</w:t>
            </w:r>
          </w:p>
        </w:tc>
        <w:tc>
          <w:tcPr>
            <w:tcW w:w="4800" w:type="dxa"/>
            <w:vAlign w:val="bottom"/>
          </w:tcPr>
          <w:p>
            <w:pPr>
              <w:jc w:val="center"/>
              <w:ind w:left="251"/>
              <w:spacing w:after="0"/>
              <w:rPr>
                <w:sz w:val="20"/>
                <w:szCs w:val="20"/>
                <w:color w:val="auto"/>
              </w:rPr>
            </w:pPr>
            <w:r>
              <w:rPr>
                <w:rFonts w:ascii="Arial" w:cs="Arial" w:eastAsia="Arial" w:hAnsi="Arial"/>
                <w:sz w:val="18"/>
                <w:szCs w:val="18"/>
                <w:color w:val="auto"/>
                <w:w w:val="92"/>
              </w:rPr>
              <w:t>Executive Vice President, Chief Financial Officer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8"/>
              </w:rPr>
              <w:t>William Burke</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4"/>
              </w:rPr>
              <w:t>(Principal Financial Officer)</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Dan Goldstein</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1"/>
              </w:rPr>
              <w:t>Vice President, Corporate Controller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Dan Goldstein</w:t>
            </w:r>
          </w:p>
        </w:tc>
        <w:tc>
          <w:tcPr>
            <w:tcW w:w="4800" w:type="dxa"/>
            <w:vAlign w:val="bottom"/>
          </w:tcPr>
          <w:p>
            <w:pPr>
              <w:jc w:val="center"/>
              <w:ind w:left="251"/>
              <w:spacing w:after="0"/>
              <w:rPr>
                <w:sz w:val="20"/>
                <w:szCs w:val="20"/>
                <w:color w:val="auto"/>
              </w:rPr>
            </w:pPr>
            <w:r>
              <w:rPr>
                <w:rFonts w:ascii="Arial" w:cs="Arial" w:eastAsia="Arial" w:hAnsi="Arial"/>
                <w:sz w:val="18"/>
                <w:szCs w:val="18"/>
                <w:color w:val="auto"/>
                <w:w w:val="95"/>
              </w:rPr>
              <w:t>(Principal Accounting Officer)</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2"/>
              </w:rPr>
              <w:t>/s/ Robert Abernathy</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0"/>
              </w:rPr>
              <w:t>Robert Abernathy</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Catherine Burzik</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3"/>
              </w:rPr>
              <w:t>Catherine Burzik</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Charles Dockendorff</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2"/>
              </w:rPr>
              <w:t>Charles Dockendorff</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0"/>
              </w:rPr>
              <w:t>/s/ Ronald Gelbman</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Ronald Gelbman</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0"/>
              </w:rPr>
              <w:t>/s/ Pedro Granadillo</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Pedro Granadillo</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8"/>
              </w:rPr>
              <w:t>/s/ Mark Kroll</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8"/>
              </w:rPr>
              <w:t>Mark Kroll</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Claire Pomeroy</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0"/>
              </w:rPr>
              <w:t>Claire Pomeroy</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Richard Meelia</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3"/>
              </w:rPr>
              <w:t>Richard Meelia</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0"/>
              </w:rPr>
              <w:t>/s/ Ellen Zane</w:t>
            </w:r>
          </w:p>
        </w:tc>
        <w:tc>
          <w:tcPr>
            <w:tcW w:w="4800" w:type="dxa"/>
            <w:vAlign w:val="bottom"/>
          </w:tcPr>
          <w:p>
            <w:pPr>
              <w:jc w:val="center"/>
              <w:ind w:left="231"/>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371"/>
              <w:spacing w:after="0"/>
              <w:rPr>
                <w:sz w:val="20"/>
                <w:szCs w:val="20"/>
                <w:color w:val="auto"/>
              </w:rPr>
            </w:pPr>
            <w:r>
              <w:rPr>
                <w:rFonts w:ascii="Arial" w:cs="Arial" w:eastAsia="Arial" w:hAnsi="Arial"/>
                <w:sz w:val="18"/>
                <w:szCs w:val="18"/>
                <w:color w:val="auto"/>
                <w:w w:val="93"/>
              </w:rPr>
              <w:t>May 22, 2019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2"/>
              </w:rPr>
              <w:t>Ellen Zane</w:t>
            </w:r>
          </w:p>
        </w:tc>
        <w:tc>
          <w:tcPr>
            <w:tcW w:w="4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30" w:right="419" w:bottom="1440" w:gutter="0" w:footer="0" w:header="0"/>
        </w:sectPr>
      </w:pP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40"/>
          </w:cols>
          <w:pgMar w:left="240" w:top="130" w:right="419" w:bottom="1440" w:gutter="0" w:footer="0" w:header="0"/>
          <w:type w:val="continuous"/>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VALUATION AND QUALIFYING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4"/>
                <w:szCs w:val="14"/>
                <w:color w:val="auto"/>
              </w:rPr>
            </w:pPr>
          </w:p>
        </w:tc>
        <w:tc>
          <w:tcPr>
            <w:tcW w:w="12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of Recoveries)</w:t>
            </w:r>
          </w:p>
        </w:tc>
        <w:tc>
          <w:tcPr>
            <w:tcW w:w="160" w:type="dxa"/>
            <w:vAlign w:val="bottom"/>
          </w:tcPr>
          <w:p>
            <w:pPr>
              <w:spacing w:after="0"/>
              <w:rPr>
                <w:sz w:val="16"/>
                <w:szCs w:val="16"/>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rPr>
              <w:t>of Fiscal Year</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30, 2019</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31, 2018</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April 1, 2017</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130" w:right="29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u w:val="single" w:color="auto"/>
          <w:color w:val="auto"/>
        </w:rPr>
        <w:t>Exhibit 10AV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HAEMONETICS CORPORATION</w:t>
      </w: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24"/>
          <w:szCs w:val="24"/>
          <w:u w:val="single" w:color="auto"/>
          <w:color w:val="auto"/>
        </w:rPr>
        <w:t>2005 LONG-TERM INCENTIVE COMPENSATION PLAN</w:t>
      </w:r>
    </w:p>
    <w:p>
      <w:pPr>
        <w:spacing w:after="0" w:line="312" w:lineRule="exact"/>
        <w:rPr>
          <w:sz w:val="20"/>
          <w:szCs w:val="20"/>
          <w:color w:val="auto"/>
        </w:rPr>
      </w:pPr>
    </w:p>
    <w:p>
      <w:pPr>
        <w:ind w:left="1860"/>
        <w:spacing w:after="0"/>
        <w:rPr>
          <w:sz w:val="20"/>
          <w:szCs w:val="20"/>
          <w:color w:val="auto"/>
        </w:rPr>
      </w:pPr>
      <w:r>
        <w:rPr>
          <w:rFonts w:ascii="Arial" w:cs="Arial" w:eastAsia="Arial" w:hAnsi="Arial"/>
          <w:sz w:val="25"/>
          <w:szCs w:val="25"/>
          <w:b w:val="1"/>
          <w:bCs w:val="1"/>
          <w:u w:val="single" w:color="auto"/>
          <w:color w:val="auto"/>
        </w:rPr>
        <w:t>PERFORMANCE SHARE UNIT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WITH</w:t>
      </w:r>
    </w:p>
    <w:p>
      <w:pPr>
        <w:spacing w:after="0" w:line="301" w:lineRule="exact"/>
        <w:rPr>
          <w:sz w:val="20"/>
          <w:szCs w:val="20"/>
          <w:color w:val="auto"/>
        </w:rPr>
      </w:pPr>
    </w:p>
    <w:p>
      <w:pPr>
        <w:ind w:left="4080"/>
        <w:spacing w:after="0"/>
        <w:rPr>
          <w:sz w:val="20"/>
          <w:szCs w:val="20"/>
          <w:color w:val="auto"/>
        </w:rPr>
      </w:pPr>
      <w:r>
        <w:rPr>
          <w:rFonts w:ascii="Arial" w:cs="Arial" w:eastAsia="Arial" w:hAnsi="Arial"/>
          <w:sz w:val="25"/>
          <w:szCs w:val="25"/>
          <w:b w:val="1"/>
          <w:bCs w:val="1"/>
          <w:u w:val="single" w:color="auto"/>
          <w:color w:val="auto"/>
        </w:rPr>
        <w:t>«Name»</w:t>
      </w:r>
    </w:p>
    <w:p>
      <w:pPr>
        <w:sectPr>
          <w:pgSz w:w="11900" w:h="16838" w:orient="portrait"/>
          <w:cols w:equalWidth="0" w:num="1">
            <w:col w:w="10220"/>
          </w:cols>
          <w:pgMar w:left="1440" w:top="369"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HAEMONETICS CORPORATION</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PERFORMANCE SHARE UNIT AGREEMENT</w:t>
      </w:r>
    </w:p>
    <w:p>
      <w:pPr>
        <w:spacing w:after="0" w:line="250"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22"/>
          <w:szCs w:val="22"/>
          <w:color w:val="auto"/>
        </w:rPr>
        <w:t>THIS PERFORMANCE SHARE UNIT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dated as of </w:t>
      </w:r>
      <w:r>
        <w:rPr>
          <w:rFonts w:ascii="Arial" w:cs="Arial" w:eastAsia="Arial" w:hAnsi="Arial"/>
          <w:sz w:val="22"/>
          <w:szCs w:val="22"/>
          <w:b w:val="1"/>
          <w:bCs w:val="1"/>
          <w:color w:val="auto"/>
        </w:rPr>
        <w:t>«PSU Grant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 Date</w:t>
      </w:r>
      <w:r>
        <w:rPr>
          <w:rFonts w:ascii="Arial" w:cs="Arial" w:eastAsia="Arial" w:hAnsi="Arial"/>
          <w:sz w:val="22"/>
          <w:szCs w:val="22"/>
          <w:color w:val="auto"/>
        </w:rPr>
        <w:t>”) by and between Haemonetics Corporation, a Massachusetts corporation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«Name»</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 is entered into as follows:</w:t>
      </w:r>
    </w:p>
    <w:p>
      <w:pPr>
        <w:spacing w:after="0" w:line="223" w:lineRule="exact"/>
        <w:rPr>
          <w:sz w:val="20"/>
          <w:szCs w:val="20"/>
          <w:color w:val="auto"/>
        </w:rPr>
      </w:pPr>
    </w:p>
    <w:p>
      <w:pPr>
        <w:ind w:right="200" w:firstLine="648"/>
        <w:spacing w:after="0" w:line="287" w:lineRule="auto"/>
        <w:rPr>
          <w:sz w:val="20"/>
          <w:szCs w:val="20"/>
          <w:color w:val="auto"/>
        </w:rPr>
      </w:pPr>
      <w:r>
        <w:rPr>
          <w:rFonts w:ascii="Arial" w:cs="Arial" w:eastAsia="Arial" w:hAnsi="Arial"/>
          <w:sz w:val="21"/>
          <w:szCs w:val="21"/>
          <w:color w:val="auto"/>
        </w:rPr>
        <w:t>WHEREAS, the Company has established the Haemonetics Corporation 2005 Incentive Compensation Plan, as amended, (“</w:t>
      </w:r>
      <w:r>
        <w:rPr>
          <w:rFonts w:ascii="Arial" w:cs="Arial" w:eastAsia="Arial" w:hAnsi="Arial"/>
          <w:sz w:val="21"/>
          <w:szCs w:val="21"/>
          <w:u w:val="single" w:color="auto"/>
          <w:color w:val="auto"/>
        </w:rPr>
        <w:t>Plan</w:t>
      </w:r>
      <w:r>
        <w:rPr>
          <w:rFonts w:ascii="Arial" w:cs="Arial" w:eastAsia="Arial" w:hAnsi="Arial"/>
          <w:sz w:val="21"/>
          <w:szCs w:val="21"/>
          <w:color w:val="auto"/>
        </w:rPr>
        <w:t>”), a copy of which has been provided to Employee, and which Plan is made a part hereof; and</w:t>
      </w:r>
    </w:p>
    <w:p>
      <w:pPr>
        <w:spacing w:after="0" w:line="192" w:lineRule="exact"/>
        <w:rPr>
          <w:sz w:val="20"/>
          <w:szCs w:val="20"/>
          <w:color w:val="auto"/>
        </w:rPr>
      </w:pPr>
    </w:p>
    <w:p>
      <w:pPr>
        <w:jc w:val="both"/>
        <w:ind w:right="360" w:firstLine="648"/>
        <w:spacing w:after="0" w:line="253" w:lineRule="auto"/>
        <w:rPr>
          <w:sz w:val="20"/>
          <w:szCs w:val="20"/>
          <w:color w:val="auto"/>
        </w:rPr>
      </w:pPr>
      <w:r>
        <w:rPr>
          <w:rFonts w:ascii="Arial" w:cs="Arial" w:eastAsia="Arial" w:hAnsi="Arial"/>
          <w:sz w:val="22"/>
          <w:szCs w:val="22"/>
          <w:color w:val="auto"/>
        </w:rPr>
        <w:t>WHEREAS, the Company desires that the Employee be granted a Performance Share Unit award pursuant to Article 10 (Other Stock Unit Awards) of the Plan settled in Shares (as defined under the Plan), subject to the restrictions as hereinafter set forth.</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hereby agree as follows:</w:t>
      </w:r>
    </w:p>
    <w:p>
      <w:pPr>
        <w:spacing w:after="0" w:line="25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Grant of Performance Share Units.</w:t>
      </w:r>
    </w:p>
    <w:p>
      <w:pPr>
        <w:spacing w:after="0" w:line="26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Subject to the terms and conditions of this Agreement and of the Plan, the Company hereby grants to the Employee a target award (“</w:t>
      </w:r>
      <w:r>
        <w:rPr>
          <w:rFonts w:ascii="Arial" w:cs="Arial" w:eastAsia="Arial" w:hAnsi="Arial"/>
          <w:sz w:val="22"/>
          <w:szCs w:val="22"/>
          <w:u w:val="single" w:color="auto"/>
          <w:color w:val="auto"/>
        </w:rPr>
        <w:t>Target Award</w:t>
      </w:r>
      <w:r>
        <w:rPr>
          <w:rFonts w:ascii="Arial" w:cs="Arial" w:eastAsia="Arial" w:hAnsi="Arial"/>
          <w:sz w:val="22"/>
          <w:szCs w:val="22"/>
          <w:color w:val="auto"/>
        </w:rPr>
        <w:t xml:space="preserve">”) of </w:t>
      </w:r>
      <w:r>
        <w:rPr>
          <w:rFonts w:ascii="Arial" w:cs="Arial" w:eastAsia="Arial" w:hAnsi="Arial"/>
          <w:sz w:val="22"/>
          <w:szCs w:val="22"/>
          <w:b w:val="1"/>
          <w:bCs w:val="1"/>
          <w:color w:val="auto"/>
        </w:rPr>
        <w:t>«X Total PSUs»</w:t>
      </w:r>
      <w:r>
        <w:rPr>
          <w:rFonts w:ascii="Arial" w:cs="Arial" w:eastAsia="Arial" w:hAnsi="Arial"/>
          <w:sz w:val="22"/>
          <w:szCs w:val="22"/>
          <w:color w:val="auto"/>
        </w:rPr>
        <w:t xml:space="preserve"> Performance Share Units (“</w:t>
      </w:r>
      <w:r>
        <w:rPr>
          <w:rFonts w:ascii="Arial" w:cs="Arial" w:eastAsia="Arial" w:hAnsi="Arial"/>
          <w:sz w:val="22"/>
          <w:szCs w:val="22"/>
          <w:u w:val="single" w:color="auto"/>
          <w:color w:val="auto"/>
        </w:rPr>
        <w:t>PSUs</w:t>
      </w:r>
      <w:r>
        <w:rPr>
          <w:rFonts w:ascii="Arial" w:cs="Arial" w:eastAsia="Arial" w:hAnsi="Arial"/>
          <w:sz w:val="22"/>
          <w:szCs w:val="22"/>
          <w:color w:val="auto"/>
        </w:rPr>
        <w:t>”). Each unit represents the right to receive one Share. Subject to satisfaction of the terms and conditions of this Agreement and the Plan, the PSUs shall be settled in Shares. No dividend equivalent rights are payable with respect to the PSUs.</w:t>
      </w:r>
    </w:p>
    <w:p>
      <w:pPr>
        <w:spacing w:after="0" w:line="223"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66" w:lineRule="exact"/>
        <w:rPr>
          <w:rFonts w:ascii="Arial" w:cs="Arial" w:eastAsia="Arial" w:hAnsi="Arial"/>
          <w:sz w:val="22"/>
          <w:szCs w:val="22"/>
          <w:b w:val="1"/>
          <w:bCs w:val="1"/>
          <w:color w:val="auto"/>
        </w:rPr>
      </w:pPr>
    </w:p>
    <w:p>
      <w:pPr>
        <w:ind w:firstLine="656"/>
        <w:spacing w:after="0" w:line="246" w:lineRule="auto"/>
        <w:tabs>
          <w:tab w:leader="none" w:pos="942"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Performance Measure and Vesting Dates.</w:t>
      </w:r>
      <w:r>
        <w:rPr>
          <w:rFonts w:ascii="Arial" w:cs="Arial" w:eastAsia="Arial" w:hAnsi="Arial"/>
          <w:sz w:val="22"/>
          <w:szCs w:val="22"/>
          <w:color w:val="auto"/>
        </w:rPr>
        <w:t xml:space="preserve"> The performance measure for the PSUs under this Agreement shall be based on the Company’s TSR (as defined below) with respect to a Share as compared to the TSR of a share of stock of each of the companies listed in the S&amp;P MidCap 400 (the “</w:t>
      </w:r>
      <w:r>
        <w:rPr>
          <w:rFonts w:ascii="Arial" w:cs="Arial" w:eastAsia="Arial" w:hAnsi="Arial"/>
          <w:sz w:val="22"/>
          <w:szCs w:val="22"/>
          <w:u w:val="single" w:color="auto"/>
          <w:color w:val="auto"/>
        </w:rPr>
        <w:t>Index</w:t>
      </w:r>
      <w:r>
        <w:rPr>
          <w:rFonts w:ascii="Arial" w:cs="Arial" w:eastAsia="Arial" w:hAnsi="Arial"/>
          <w:sz w:val="22"/>
          <w:szCs w:val="22"/>
          <w:color w:val="auto"/>
        </w:rPr>
        <w:t xml:space="preserve">”), as adjusted as set forth below, in each case over the three (3) year period beginning on </w:t>
      </w:r>
      <w:r>
        <w:rPr>
          <w:rFonts w:ascii="Arial" w:cs="Arial" w:eastAsia="Arial" w:hAnsi="Arial"/>
          <w:sz w:val="22"/>
          <w:szCs w:val="22"/>
          <w:b w:val="1"/>
          <w:bCs w:val="1"/>
          <w:color w:val="auto"/>
        </w:rPr>
        <w:t>«Start Date»</w:t>
      </w:r>
      <w:r>
        <w:rPr>
          <w:rFonts w:ascii="Arial" w:cs="Arial" w:eastAsia="Arial" w:hAnsi="Arial"/>
          <w:sz w:val="22"/>
          <w:szCs w:val="22"/>
          <w:color w:val="auto"/>
        </w:rPr>
        <w:t xml:space="preserve"> and ending on </w:t>
      </w:r>
      <w:r>
        <w:rPr>
          <w:rFonts w:ascii="Arial" w:cs="Arial" w:eastAsia="Arial" w:hAnsi="Arial"/>
          <w:sz w:val="22"/>
          <w:szCs w:val="22"/>
          <w:b w:val="1"/>
          <w:bCs w:val="1"/>
          <w:color w:val="auto"/>
        </w:rPr>
        <w:t>«End Date» (</w:t>
      </w:r>
      <w:r>
        <w:rPr>
          <w:rFonts w:ascii="Arial" w:cs="Arial" w:eastAsia="Arial" w:hAnsi="Arial"/>
          <w:sz w:val="22"/>
          <w:szCs w:val="22"/>
          <w:color w:val="auto"/>
        </w:rPr>
        <w:t>the “</w:t>
      </w:r>
      <w:r>
        <w:rPr>
          <w:rFonts w:ascii="Arial" w:cs="Arial" w:eastAsia="Arial" w:hAnsi="Arial"/>
          <w:sz w:val="22"/>
          <w:szCs w:val="22"/>
          <w:u w:val="single" w:color="auto"/>
          <w:color w:val="auto"/>
        </w:rPr>
        <w:t>Performance Period</w:t>
      </w:r>
      <w:r>
        <w:rPr>
          <w:rFonts w:ascii="Arial" w:cs="Arial" w:eastAsia="Arial" w:hAnsi="Arial"/>
          <w:sz w:val="22"/>
          <w:szCs w:val="22"/>
          <w:color w:val="auto"/>
        </w:rPr>
        <w:t>”). The interest of the Employee in the PSUs shall vest, if at all, on the last day of the Performance Period (the “</w:t>
      </w:r>
      <w:r>
        <w:rPr>
          <w:rFonts w:ascii="Arial" w:cs="Arial" w:eastAsia="Arial" w:hAnsi="Arial"/>
          <w:sz w:val="22"/>
          <w:szCs w:val="22"/>
          <w:u w:val="single" w:color="auto"/>
          <w:color w:val="auto"/>
        </w:rPr>
        <w:t>Maturity Date</w:t>
      </w:r>
      <w:r>
        <w:rPr>
          <w:rFonts w:ascii="Arial" w:cs="Arial" w:eastAsia="Arial" w:hAnsi="Arial"/>
          <w:sz w:val="22"/>
          <w:szCs w:val="22"/>
          <w:color w:val="auto"/>
        </w:rPr>
        <w:t>”) according to the vesting schedule set forth on the following page (“</w:t>
      </w:r>
      <w:r>
        <w:rPr>
          <w:rFonts w:ascii="Arial" w:cs="Arial" w:eastAsia="Arial" w:hAnsi="Arial"/>
          <w:sz w:val="22"/>
          <w:szCs w:val="22"/>
          <w:u w:val="single" w:color="auto"/>
          <w:color w:val="auto"/>
        </w:rPr>
        <w:t>Vesting Schedule</w:t>
      </w:r>
      <w:r>
        <w:rPr>
          <w:rFonts w:ascii="Arial" w:cs="Arial" w:eastAsia="Arial" w:hAnsi="Arial"/>
          <w:sz w:val="22"/>
          <w:szCs w:val="22"/>
          <w:color w:val="auto"/>
        </w:rPr>
        <w:t>”), and also conditioned upon the Employee’s continued employment with the Company through the Maturity Date:</w:t>
      </w:r>
    </w:p>
    <w:p>
      <w:pPr>
        <w:spacing w:after="0" w:line="200" w:lineRule="exact"/>
        <w:rPr>
          <w:sz w:val="20"/>
          <w:szCs w:val="20"/>
          <w:color w:val="auto"/>
        </w:rPr>
      </w:pP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270"/>
        </w:trPr>
        <w:tc>
          <w:tcPr>
            <w:tcW w:w="4760" w:type="dxa"/>
            <w:vAlign w:val="bottom"/>
            <w:gridSpan w:val="2"/>
          </w:tcPr>
          <w:p>
            <w:pPr>
              <w:jc w:val="center"/>
              <w:ind w:left="912"/>
              <w:spacing w:after="0"/>
              <w:rPr>
                <w:sz w:val="20"/>
                <w:szCs w:val="20"/>
                <w:color w:val="auto"/>
              </w:rPr>
            </w:pPr>
            <w:r>
              <w:rPr>
                <w:rFonts w:ascii="Arial" w:cs="Arial" w:eastAsia="Arial" w:hAnsi="Arial"/>
                <w:sz w:val="22"/>
                <w:szCs w:val="22"/>
                <w:color w:val="auto"/>
                <w:w w:val="89"/>
              </w:rPr>
              <w:t>Company Relative TSR Percentile Rank</w:t>
            </w:r>
          </w:p>
        </w:tc>
        <w:tc>
          <w:tcPr>
            <w:tcW w:w="5160" w:type="dxa"/>
            <w:vAlign w:val="bottom"/>
          </w:tcPr>
          <w:p>
            <w:pPr>
              <w:spacing w:after="0"/>
              <w:rPr>
                <w:sz w:val="23"/>
                <w:szCs w:val="23"/>
                <w:color w:val="auto"/>
              </w:rPr>
            </w:pPr>
          </w:p>
        </w:tc>
      </w:tr>
      <w:tr>
        <w:trPr>
          <w:trHeight w:val="285"/>
        </w:trPr>
        <w:tc>
          <w:tcPr>
            <w:tcW w:w="4760" w:type="dxa"/>
            <w:vAlign w:val="bottom"/>
            <w:tcBorders>
              <w:bottom w:val="single" w:sz="8" w:color="auto"/>
            </w:tcBorders>
            <w:gridSpan w:val="2"/>
          </w:tcPr>
          <w:p>
            <w:pPr>
              <w:jc w:val="center"/>
              <w:ind w:left="912"/>
              <w:spacing w:after="0"/>
              <w:rPr>
                <w:sz w:val="20"/>
                <w:szCs w:val="20"/>
                <w:color w:val="auto"/>
              </w:rPr>
            </w:pPr>
            <w:r>
              <w:rPr>
                <w:rFonts w:ascii="Arial" w:cs="Arial" w:eastAsia="Arial" w:hAnsi="Arial"/>
                <w:sz w:val="22"/>
                <w:szCs w:val="22"/>
                <w:color w:val="auto"/>
                <w:w w:val="91"/>
              </w:rPr>
              <w:t>at Maturity Date</w:t>
            </w:r>
          </w:p>
        </w:tc>
        <w:tc>
          <w:tcPr>
            <w:tcW w:w="5160" w:type="dxa"/>
            <w:vAlign w:val="bottom"/>
            <w:tcBorders>
              <w:bottom w:val="single" w:sz="8" w:color="auto"/>
            </w:tcBorders>
          </w:tcPr>
          <w:p>
            <w:pPr>
              <w:jc w:val="center"/>
              <w:ind w:left="912"/>
              <w:spacing w:after="0"/>
              <w:rPr>
                <w:sz w:val="20"/>
                <w:szCs w:val="20"/>
                <w:color w:val="auto"/>
              </w:rPr>
            </w:pPr>
            <w:r>
              <w:rPr>
                <w:rFonts w:ascii="Arial" w:cs="Arial" w:eastAsia="Arial" w:hAnsi="Arial"/>
                <w:sz w:val="22"/>
                <w:szCs w:val="22"/>
                <w:color w:val="auto"/>
                <w:w w:val="86"/>
              </w:rPr>
              <w:t>Share Payout as a Percentage of Target Award</w:t>
            </w:r>
          </w:p>
        </w:tc>
      </w:tr>
      <w:tr>
        <w:trPr>
          <w:trHeight w:val="357"/>
        </w:trPr>
        <w:tc>
          <w:tcPr>
            <w:tcW w:w="2940" w:type="dxa"/>
            <w:vAlign w:val="bottom"/>
          </w:tcPr>
          <w:p>
            <w:pPr>
              <w:ind w:left="1940"/>
              <w:spacing w:after="0"/>
              <w:rPr>
                <w:sz w:val="20"/>
                <w:szCs w:val="20"/>
                <w:color w:val="auto"/>
              </w:rPr>
            </w:pPr>
            <w:r>
              <w:rPr>
                <w:rFonts w:ascii="Arial" w:cs="Arial" w:eastAsia="Arial" w:hAnsi="Arial"/>
                <w:sz w:val="22"/>
                <w:szCs w:val="22"/>
                <w:color w:val="auto"/>
                <w:w w:val="92"/>
              </w:rPr>
              <w:t>Below 30</w:t>
            </w:r>
            <w:r>
              <w:rPr>
                <w:rFonts w:ascii="Arial" w:cs="Arial" w:eastAsia="Arial" w:hAnsi="Arial"/>
                <w:sz w:val="28"/>
                <w:szCs w:val="28"/>
                <w:color w:val="auto"/>
                <w:w w:val="92"/>
                <w:vertAlign w:val="superscript"/>
              </w:rPr>
              <w:t>th</w:t>
            </w:r>
          </w:p>
        </w:tc>
        <w:tc>
          <w:tcPr>
            <w:tcW w:w="1820" w:type="dxa"/>
            <w:vAlign w:val="bottom"/>
          </w:tcPr>
          <w:p>
            <w:pPr>
              <w:ind w:left="40"/>
              <w:spacing w:after="0"/>
              <w:rPr>
                <w:sz w:val="20"/>
                <w:szCs w:val="20"/>
                <w:color w:val="auto"/>
              </w:rPr>
            </w:pPr>
            <w:r>
              <w:rPr>
                <w:rFonts w:ascii="Arial" w:cs="Arial" w:eastAsia="Arial" w:hAnsi="Arial"/>
                <w:sz w:val="22"/>
                <w:szCs w:val="22"/>
                <w:color w:val="auto"/>
              </w:rPr>
              <w:t>Percentile</w:t>
            </w:r>
          </w:p>
        </w:tc>
        <w:tc>
          <w:tcPr>
            <w:tcW w:w="5160" w:type="dxa"/>
            <w:vAlign w:val="bottom"/>
          </w:tcPr>
          <w:p>
            <w:pPr>
              <w:jc w:val="right"/>
              <w:ind w:right="1832"/>
              <w:spacing w:after="0"/>
              <w:rPr>
                <w:sz w:val="20"/>
                <w:szCs w:val="20"/>
                <w:color w:val="auto"/>
              </w:rPr>
            </w:pPr>
            <w:r>
              <w:rPr>
                <w:rFonts w:ascii="Arial" w:cs="Arial" w:eastAsia="Arial" w:hAnsi="Arial"/>
                <w:sz w:val="22"/>
                <w:szCs w:val="22"/>
                <w:color w:val="auto"/>
              </w:rPr>
              <w:t>0%</w:t>
            </w:r>
          </w:p>
        </w:tc>
      </w:tr>
      <w:tr>
        <w:trPr>
          <w:trHeight w:val="324"/>
        </w:trPr>
        <w:tc>
          <w:tcPr>
            <w:tcW w:w="2940" w:type="dxa"/>
            <w:vAlign w:val="bottom"/>
          </w:tcPr>
          <w:p>
            <w:pPr>
              <w:ind w:left="1900"/>
              <w:spacing w:after="0"/>
              <w:rPr>
                <w:sz w:val="20"/>
                <w:szCs w:val="20"/>
                <w:color w:val="auto"/>
              </w:rPr>
            </w:pPr>
            <w:r>
              <w:rPr>
                <w:rFonts w:ascii="Arial" w:cs="Arial" w:eastAsia="Arial" w:hAnsi="Arial"/>
                <w:sz w:val="22"/>
                <w:szCs w:val="22"/>
                <w:color w:val="auto"/>
                <w:w w:val="87"/>
              </w:rPr>
              <w:t>30</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to 50</w:t>
            </w:r>
            <w:r>
              <w:rPr>
                <w:rFonts w:ascii="Arial" w:cs="Arial" w:eastAsia="Arial" w:hAnsi="Arial"/>
                <w:sz w:val="28"/>
                <w:szCs w:val="28"/>
                <w:color w:val="auto"/>
                <w:w w:val="87"/>
                <w:vertAlign w:val="superscript"/>
              </w:rPr>
              <w:t>th</w:t>
            </w:r>
          </w:p>
        </w:tc>
        <w:tc>
          <w:tcPr>
            <w:tcW w:w="1820" w:type="dxa"/>
            <w:vAlign w:val="bottom"/>
          </w:tcPr>
          <w:p>
            <w:pPr>
              <w:ind w:left="60"/>
              <w:spacing w:after="0"/>
              <w:rPr>
                <w:sz w:val="20"/>
                <w:szCs w:val="20"/>
                <w:color w:val="auto"/>
              </w:rPr>
            </w:pPr>
            <w:r>
              <w:rPr>
                <w:rFonts w:ascii="Arial" w:cs="Arial" w:eastAsia="Arial" w:hAnsi="Arial"/>
                <w:sz w:val="22"/>
                <w:szCs w:val="22"/>
                <w:color w:val="auto"/>
              </w:rPr>
              <w:t>Percentile</w:t>
            </w:r>
          </w:p>
        </w:tc>
        <w:tc>
          <w:tcPr>
            <w:tcW w:w="5160" w:type="dxa"/>
            <w:vAlign w:val="bottom"/>
          </w:tcPr>
          <w:p>
            <w:pPr>
              <w:jc w:val="center"/>
              <w:ind w:left="912"/>
              <w:spacing w:after="0"/>
              <w:rPr>
                <w:sz w:val="20"/>
                <w:szCs w:val="20"/>
                <w:color w:val="auto"/>
              </w:rPr>
            </w:pPr>
            <w:r>
              <w:rPr>
                <w:rFonts w:ascii="Arial" w:cs="Arial" w:eastAsia="Arial" w:hAnsi="Arial"/>
                <w:sz w:val="22"/>
                <w:szCs w:val="22"/>
                <w:color w:val="auto"/>
                <w:w w:val="89"/>
              </w:rPr>
              <w:t>50% to 99%</w:t>
            </w:r>
          </w:p>
        </w:tc>
      </w:tr>
      <w:tr>
        <w:trPr>
          <w:trHeight w:val="324"/>
        </w:trPr>
        <w:tc>
          <w:tcPr>
            <w:tcW w:w="4760" w:type="dxa"/>
            <w:vAlign w:val="bottom"/>
            <w:gridSpan w:val="2"/>
          </w:tcPr>
          <w:p>
            <w:pPr>
              <w:jc w:val="center"/>
              <w:ind w:left="912"/>
              <w:spacing w:after="0"/>
              <w:rPr>
                <w:sz w:val="20"/>
                <w:szCs w:val="20"/>
                <w:color w:val="auto"/>
              </w:rPr>
            </w:pPr>
            <w:r>
              <w:rPr>
                <w:rFonts w:ascii="Arial" w:cs="Arial" w:eastAsia="Arial" w:hAnsi="Arial"/>
                <w:sz w:val="22"/>
                <w:szCs w:val="22"/>
                <w:color w:val="auto"/>
                <w:w w:val="85"/>
              </w:rPr>
              <w:t>51</w:t>
            </w:r>
            <w:r>
              <w:rPr>
                <w:rFonts w:ascii="Arial" w:cs="Arial" w:eastAsia="Arial" w:hAnsi="Arial"/>
                <w:sz w:val="28"/>
                <w:szCs w:val="28"/>
                <w:color w:val="auto"/>
                <w:w w:val="85"/>
                <w:vertAlign w:val="superscript"/>
              </w:rPr>
              <w:t>st</w:t>
            </w:r>
            <w:r>
              <w:rPr>
                <w:rFonts w:ascii="Arial" w:cs="Arial" w:eastAsia="Arial" w:hAnsi="Arial"/>
                <w:sz w:val="22"/>
                <w:szCs w:val="22"/>
                <w:color w:val="auto"/>
                <w:w w:val="85"/>
              </w:rPr>
              <w:t xml:space="preserve"> to 80</w:t>
            </w:r>
            <w:r>
              <w:rPr>
                <w:rFonts w:ascii="Arial" w:cs="Arial" w:eastAsia="Arial" w:hAnsi="Arial"/>
                <w:sz w:val="28"/>
                <w:szCs w:val="28"/>
                <w:color w:val="auto"/>
                <w:w w:val="85"/>
                <w:vertAlign w:val="superscript"/>
              </w:rPr>
              <w:t>th</w:t>
            </w:r>
            <w:r>
              <w:rPr>
                <w:rFonts w:ascii="Arial" w:cs="Arial" w:eastAsia="Arial" w:hAnsi="Arial"/>
                <w:sz w:val="22"/>
                <w:szCs w:val="22"/>
                <w:color w:val="auto"/>
                <w:w w:val="85"/>
              </w:rPr>
              <w:t xml:space="preserve"> Percentile</w:t>
            </w:r>
          </w:p>
        </w:tc>
        <w:tc>
          <w:tcPr>
            <w:tcW w:w="5160" w:type="dxa"/>
            <w:vAlign w:val="bottom"/>
          </w:tcPr>
          <w:p>
            <w:pPr>
              <w:jc w:val="center"/>
              <w:ind w:left="892"/>
              <w:spacing w:after="0"/>
              <w:rPr>
                <w:sz w:val="20"/>
                <w:szCs w:val="20"/>
                <w:color w:val="auto"/>
              </w:rPr>
            </w:pPr>
            <w:r>
              <w:rPr>
                <w:rFonts w:ascii="Arial" w:cs="Arial" w:eastAsia="Arial" w:hAnsi="Arial"/>
                <w:sz w:val="22"/>
                <w:szCs w:val="22"/>
                <w:color w:val="auto"/>
                <w:w w:val="89"/>
              </w:rPr>
              <w:t>100% to 200%</w:t>
            </w:r>
          </w:p>
        </w:tc>
      </w:tr>
      <w:tr>
        <w:trPr>
          <w:trHeight w:val="377"/>
        </w:trPr>
        <w:tc>
          <w:tcPr>
            <w:tcW w:w="4760" w:type="dxa"/>
            <w:vAlign w:val="bottom"/>
            <w:gridSpan w:val="2"/>
          </w:tcPr>
          <w:p>
            <w:pPr>
              <w:jc w:val="center"/>
              <w:ind w:left="912"/>
              <w:spacing w:after="0"/>
              <w:rPr>
                <w:sz w:val="20"/>
                <w:szCs w:val="20"/>
                <w:color w:val="auto"/>
              </w:rPr>
            </w:pPr>
            <w:r>
              <w:rPr>
                <w:rFonts w:ascii="Arial" w:cs="Arial" w:eastAsia="Arial" w:hAnsi="Arial"/>
                <w:sz w:val="22"/>
                <w:szCs w:val="22"/>
                <w:color w:val="auto"/>
                <w:w w:val="88"/>
              </w:rPr>
              <w:t>80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 or higher</w:t>
            </w:r>
          </w:p>
        </w:tc>
        <w:tc>
          <w:tcPr>
            <w:tcW w:w="5160" w:type="dxa"/>
            <w:vAlign w:val="bottom"/>
          </w:tcPr>
          <w:p>
            <w:pPr>
              <w:jc w:val="right"/>
              <w:ind w:right="1712"/>
              <w:spacing w:after="0"/>
              <w:rPr>
                <w:sz w:val="20"/>
                <w:szCs w:val="20"/>
                <w:color w:val="auto"/>
              </w:rPr>
            </w:pPr>
            <w:r>
              <w:rPr>
                <w:rFonts w:ascii="Arial" w:cs="Arial" w:eastAsia="Arial" w:hAnsi="Arial"/>
                <w:sz w:val="22"/>
                <w:szCs w:val="22"/>
                <w:color w:val="auto"/>
              </w:rPr>
              <w:t>200%</w:t>
            </w:r>
          </w:p>
        </w:tc>
      </w:tr>
      <w:tr>
        <w:trPr>
          <w:trHeight w:val="680"/>
        </w:trPr>
        <w:tc>
          <w:tcPr>
            <w:tcW w:w="2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160" w:type="dxa"/>
            <w:vAlign w:val="bottom"/>
          </w:tcPr>
          <w:p>
            <w:pPr>
              <w:jc w:val="right"/>
              <w:ind w:right="4812"/>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380"/>
          </w:cols>
          <w:pgMar w:left="240" w:top="369" w:right="279" w:bottom="1440" w:gutter="0" w:footer="0" w:header="0"/>
        </w:sectPr>
      </w:pPr>
    </w:p>
    <w:bookmarkStart w:id="99" w:name="page100"/>
    <w:bookmarkEnd w:id="99"/>
    <w:p>
      <w:pPr>
        <w:spacing w:after="0" w:line="302" w:lineRule="auto"/>
        <w:rPr>
          <w:sz w:val="20"/>
          <w:szCs w:val="20"/>
          <w:color w:val="auto"/>
        </w:rPr>
      </w:pPr>
      <w:r>
        <w:rPr>
          <w:rFonts w:ascii="Arial" w:cs="Arial" w:eastAsia="Arial" w:hAnsi="Arial"/>
          <w:sz w:val="19"/>
          <w:szCs w:val="19"/>
          <w:color w:val="auto"/>
        </w:rPr>
        <w:t>Company Relative TSR Percentile Rank performance that is in between any two Company Relative TSR Percentile Ranks adjacent to each other in the above Vesting Schedule will be interpolated linearly and rounded to the nearest whole percentage (i.e., below 0.5 round down, at or above 0.5 round up). Notwithstanding the Vesting Schedule above, if the Company’s Total Shareholder Return for the Performance Period is negative, then any Share Payout shall be capped at 100% of the Target Award.</w:t>
      </w:r>
    </w:p>
    <w:p>
      <w:pPr>
        <w:spacing w:after="0" w:line="183" w:lineRule="exact"/>
        <w:rPr>
          <w:sz w:val="20"/>
          <w:szCs w:val="20"/>
          <w:color w:val="auto"/>
        </w:rPr>
      </w:pPr>
    </w:p>
    <w:p>
      <w:pPr>
        <w:ind w:right="40"/>
        <w:spacing w:after="0" w:line="285" w:lineRule="auto"/>
        <w:rPr>
          <w:sz w:val="20"/>
          <w:szCs w:val="20"/>
          <w:color w:val="auto"/>
        </w:rPr>
      </w:pPr>
      <w:r>
        <w:rPr>
          <w:rFonts w:ascii="Arial" w:cs="Arial" w:eastAsia="Arial" w:hAnsi="Arial"/>
          <w:sz w:val="19"/>
          <w:szCs w:val="19"/>
          <w:color w:val="auto"/>
        </w:rPr>
        <w:t>For purposes of calculating the Company Relative TSR Percentile Rank, the Company and each other company in the Index Population (as defined below) at the end of the Performance Period will be ranked in order of their TSR. The Company’s Relative TSR Percentile Rank will be equal to the percentage of companies in the Index Population at the end of the Performance Period that ranked equal to or lower than the Company, as calculated according to the following formula: N - R + 1, where “N” equals the total number of companies in the Index Population at the end of the Performance Period (including the Company) and “R” equals the Company’s rank against the other companies in the Index Population at the end of the Performance Period.</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21"/>
          <w:szCs w:val="21"/>
          <w:color w:val="auto"/>
        </w:rPr>
        <w:t>The companies constituting the Index for purposes of calculating TSR for the Performance Period will be the population of companies in the S&amp;P MidCap 400 as of the first day of the Performance Period (the “</w:t>
      </w:r>
      <w:r>
        <w:rPr>
          <w:rFonts w:ascii="Arial" w:cs="Arial" w:eastAsia="Arial" w:hAnsi="Arial"/>
          <w:sz w:val="21"/>
          <w:szCs w:val="21"/>
          <w:u w:val="single" w:color="auto"/>
          <w:color w:val="auto"/>
        </w:rPr>
        <w:t>Index Population</w:t>
      </w:r>
      <w:r>
        <w:rPr>
          <w:rFonts w:ascii="Arial" w:cs="Arial" w:eastAsia="Arial" w:hAnsi="Arial"/>
          <w:sz w:val="21"/>
          <w:szCs w:val="21"/>
          <w:color w:val="auto"/>
        </w:rPr>
        <w:t>”), adjusted as follows: (i) companies that are removed from the Index during the Performance Period but whose stock continued to be publicly traded on a major U.S. stock exchange during the entire Performance Period shall be included in the Index Population, (ii) companies that are added to the Index during the Performance Period that were not part of the Index Population on the first day of the Performance Period shall be excluded from the Index Population, (iii) companies that have been acquired or gone private during the Performance Period such that their stock is no longer included in the Index and failed to be publicly traded on a major U.S. stock exchange during the entire Performance Period shall be excluded from the Index Population; and (iv) companies that are no longer in existence or declare bankruptcy or whose stock ceases to be publicly traded on a major U.S. stock exchange as a result of a business failure shall be included in the Index Population but will be ranked at negative 100% (-100%) TSR for the Performance Period.</w:t>
      </w:r>
    </w:p>
    <w:p>
      <w:pPr>
        <w:spacing w:after="0" w:line="228"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TSR</w:t>
      </w:r>
      <w:r>
        <w:rPr>
          <w:rFonts w:ascii="Arial" w:cs="Arial" w:eastAsia="Arial" w:hAnsi="Arial"/>
          <w:sz w:val="22"/>
          <w:szCs w:val="22"/>
          <w:color w:val="auto"/>
        </w:rPr>
        <w:t>” for the Company and each member of the Index Population shall be calculated according to the following formula:</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(Ending Average Price - Beginning Average Price) + Dividends Paid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Beginning Average Price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pacing w:after="0" w:line="260" w:lineRule="exact"/>
        <w:rPr>
          <w:sz w:val="20"/>
          <w:szCs w:val="20"/>
          <w:color w:val="auto"/>
        </w:rPr>
      </w:pPr>
    </w:p>
    <w:p>
      <w:pPr>
        <w:ind w:left="660" w:right="3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Ending Average Price</w:t>
      </w:r>
      <w:r>
        <w:rPr>
          <w:rFonts w:ascii="Arial" w:cs="Arial" w:eastAsia="Arial" w:hAnsi="Arial"/>
          <w:sz w:val="22"/>
          <w:szCs w:val="22"/>
          <w:color w:val="auto"/>
        </w:rPr>
        <w:t>” shall mean the average Closing Price of the stock of the company being measured for the thirty (30) trading days at the end of the Performance Period,</w:t>
      </w:r>
    </w:p>
    <w:p>
      <w:pPr>
        <w:spacing w:after="0" w:line="215" w:lineRule="exact"/>
        <w:rPr>
          <w:sz w:val="20"/>
          <w:szCs w:val="20"/>
          <w:color w:val="auto"/>
        </w:rPr>
      </w:pPr>
    </w:p>
    <w:p>
      <w:pPr>
        <w:ind w:left="66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Price</w:t>
      </w:r>
      <w:r>
        <w:rPr>
          <w:rFonts w:ascii="Arial" w:cs="Arial" w:eastAsia="Arial" w:hAnsi="Arial"/>
          <w:sz w:val="21"/>
          <w:szCs w:val="21"/>
          <w:color w:val="auto"/>
        </w:rPr>
        <w:t>” means, for a given trading day, the closing price of the stock of the company being measured on its primary U.S. stock exchange (or, if not traded on a U.S. exchange, its primary foreign securities exchange),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375" w:right="299" w:bottom="1440" w:gutter="0" w:footer="0" w:header="0"/>
        </w:sectPr>
      </w:pPr>
    </w:p>
    <w:bookmarkStart w:id="100" w:name="page101"/>
    <w:bookmarkEnd w:id="100"/>
    <w:p>
      <w:pPr>
        <w:ind w:left="660" w:right="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Average Price</w:t>
      </w:r>
      <w:r>
        <w:rPr>
          <w:rFonts w:ascii="Arial" w:cs="Arial" w:eastAsia="Arial" w:hAnsi="Arial"/>
          <w:sz w:val="22"/>
          <w:szCs w:val="22"/>
          <w:color w:val="auto"/>
        </w:rPr>
        <w:t>” means the average Adjusted Closing Price of the stock of the company being measured over the Beginning Average Period,</w:t>
      </w:r>
    </w:p>
    <w:p>
      <w:pPr>
        <w:spacing w:after="0" w:line="215" w:lineRule="exact"/>
        <w:rPr>
          <w:sz w:val="20"/>
          <w:szCs w:val="20"/>
          <w:color w:val="auto"/>
        </w:rPr>
      </w:pPr>
    </w:p>
    <w:p>
      <w:pPr>
        <w:ind w:left="660" w:right="4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Average Period</w:t>
      </w:r>
      <w:r>
        <w:rPr>
          <w:rFonts w:ascii="Arial" w:cs="Arial" w:eastAsia="Arial" w:hAnsi="Arial"/>
          <w:sz w:val="22"/>
          <w:szCs w:val="22"/>
          <w:color w:val="auto"/>
        </w:rPr>
        <w:t>” means the thirty (30) trading days immediately preceding the first day of the Performance Period,</w:t>
      </w:r>
    </w:p>
    <w:p>
      <w:pPr>
        <w:spacing w:after="0" w:line="215" w:lineRule="exact"/>
        <w:rPr>
          <w:sz w:val="20"/>
          <w:szCs w:val="20"/>
          <w:color w:val="auto"/>
        </w:rPr>
      </w:pPr>
    </w:p>
    <w:p>
      <w:pPr>
        <w:jc w:val="both"/>
        <w:ind w:left="660" w:right="14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Closing Price</w:t>
      </w:r>
      <w:r>
        <w:rPr>
          <w:rFonts w:ascii="Arial" w:cs="Arial" w:eastAsia="Arial" w:hAnsi="Arial"/>
          <w:sz w:val="19"/>
          <w:szCs w:val="19"/>
          <w:color w:val="auto"/>
        </w:rPr>
        <w:t>” means, for a given trading day, the Closing Price of the stock of the company being measured on such trading day, as adjusted as follows: if the company being measured has declared a dividend with respect to which the ex-dividend date is during the Beginning Average Period, the amount of such dividend shall be added to the Closing Price for each trading day during the Beginning Average Period that is on or after such ex-dividend date, and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Dividends Paid</w:t>
      </w:r>
      <w:r>
        <w:rPr>
          <w:rFonts w:ascii="Arial" w:cs="Arial" w:eastAsia="Arial" w:hAnsi="Arial"/>
          <w:sz w:val="19"/>
          <w:szCs w:val="19"/>
          <w:color w:val="auto"/>
        </w:rPr>
        <w:t>” means the sum of all dividends paid by the company being measured during the Performance Period.</w:t>
      </w:r>
    </w:p>
    <w:p>
      <w:pPr>
        <w:spacing w:after="0" w:line="295" w:lineRule="exact"/>
        <w:rPr>
          <w:sz w:val="20"/>
          <w:szCs w:val="20"/>
          <w:color w:val="auto"/>
        </w:rPr>
      </w:pPr>
    </w:p>
    <w:p>
      <w:pPr>
        <w:ind w:left="660" w:right="180"/>
        <w:spacing w:after="0" w:line="250" w:lineRule="auto"/>
        <w:rPr>
          <w:sz w:val="20"/>
          <w:szCs w:val="20"/>
          <w:color w:val="auto"/>
        </w:rPr>
      </w:pPr>
      <w:r>
        <w:rPr>
          <w:rFonts w:ascii="Arial" w:cs="Arial" w:eastAsia="Arial" w:hAnsi="Arial"/>
          <w:sz w:val="22"/>
          <w:szCs w:val="22"/>
          <w:color w:val="auto"/>
        </w:rPr>
        <w:t>Stock prices and dividends denominated in non-U.S. dollars for any member of the Index Population shall be converted to U.S. dollars using the currency exchange rates in effect on each relevant trading day and/or date of dividend payment, as applicable. Calculations shall be adjusted by the Compensation Committee of the Company’s Board of Directors (the “</w:t>
      </w:r>
      <w:r>
        <w:rPr>
          <w:rFonts w:ascii="Arial" w:cs="Arial" w:eastAsia="Arial" w:hAnsi="Arial"/>
          <w:sz w:val="22"/>
          <w:szCs w:val="22"/>
          <w:u w:val="single" w:color="auto"/>
          <w:color w:val="auto"/>
        </w:rPr>
        <w:t>Committee</w:t>
      </w:r>
      <w:r>
        <w:rPr>
          <w:rFonts w:ascii="Arial" w:cs="Arial" w:eastAsia="Arial" w:hAnsi="Arial"/>
          <w:sz w:val="22"/>
          <w:szCs w:val="22"/>
          <w:color w:val="auto"/>
        </w:rPr>
        <w:t>”) as provided under Section 6 below.</w:t>
      </w:r>
    </w:p>
    <w:p>
      <w:pPr>
        <w:spacing w:after="0" w:line="229"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Subject to any earlier payment made under Section 2(f) below, the vested number of PSUs determined under this Section 2(a) shall be settled by the Company in a single payment of Shares (subject to applicable tax withholding) as soon as reasonably practicable after the Maturity Date following certification by the Committee of the Company’s Relative TSR Percentile Rank, but in no event later than two and one-half months after the end of the Performance Period except as specifically permitted under IRS regulations without resulting in a violation of Section 409A of the Code (as defined under the Plan).</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In situations where there is not continued employment through the Maturity Date, notwithstanding the foregoing, the interest of the Employee in the Shares subject to this award shall be determined as specified below.</w:t>
      </w:r>
    </w:p>
    <w:p>
      <w:pPr>
        <w:spacing w:after="0" w:line="215" w:lineRule="exact"/>
        <w:rPr>
          <w:sz w:val="20"/>
          <w:szCs w:val="20"/>
          <w:color w:val="auto"/>
        </w:rPr>
      </w:pPr>
    </w:p>
    <w:p>
      <w:pPr>
        <w:ind w:firstLine="656"/>
        <w:spacing w:after="0" w:line="248" w:lineRule="auto"/>
        <w:tabs>
          <w:tab w:leader="none" w:pos="954"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Employment Required.</w:t>
      </w:r>
      <w:r>
        <w:rPr>
          <w:rFonts w:ascii="Arial" w:cs="Arial" w:eastAsia="Arial" w:hAnsi="Arial"/>
          <w:sz w:val="22"/>
          <w:szCs w:val="22"/>
          <w:color w:val="auto"/>
        </w:rPr>
        <w:t xml:space="preserve"> Except as otherwise provided in this Section 2, if the Employee ceases to be an employee of the Company or one of its Subsidiaries (as defined in the Plan) prior to the Maturity Date, the PSUs granted to the Employee hereunder shall not vest and instead shall be forfeited. In such event, vesting shall not be pro-rated between the Grant Date and the Maturity Date. For avoidance of doubt, employment with an entity that is a Subsidiary shall be deemed to terminate once the Company no longer has a majority interest in such entity.</w:t>
      </w:r>
    </w:p>
    <w:p>
      <w:pPr>
        <w:spacing w:after="0" w:line="232" w:lineRule="exact"/>
        <w:rPr>
          <w:rFonts w:ascii="Arial" w:cs="Arial" w:eastAsia="Arial" w:hAnsi="Arial"/>
          <w:sz w:val="22"/>
          <w:szCs w:val="22"/>
          <w:color w:val="auto"/>
        </w:rPr>
      </w:pPr>
    </w:p>
    <w:p>
      <w:pPr>
        <w:ind w:right="20" w:firstLine="656"/>
        <w:spacing w:after="0" w:line="253" w:lineRule="auto"/>
        <w:tabs>
          <w:tab w:leader="none" w:pos="942"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If such termination of employment is because of the Employee’s Disability (as defined in Section 2(g) below) while in the employ of the Company or its Subsidiaries, then the continued employment requirement for the Employee shall cease to apply and the Share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31" w:right="259" w:bottom="1440" w:gutter="0" w:footer="0" w:header="0"/>
        </w:sectPr>
      </w:pPr>
    </w:p>
    <w:bookmarkStart w:id="101" w:name="page102"/>
    <w:bookmarkEnd w:id="101"/>
    <w:p>
      <w:pPr>
        <w:ind w:right="40"/>
        <w:spacing w:after="0" w:line="250" w:lineRule="auto"/>
        <w:rPr>
          <w:sz w:val="20"/>
          <w:szCs w:val="20"/>
          <w:color w:val="auto"/>
        </w:rPr>
      </w:pPr>
      <w:r>
        <w:rPr>
          <w:rFonts w:ascii="Arial" w:cs="Arial" w:eastAsia="Arial" w:hAnsi="Arial"/>
          <w:sz w:val="22"/>
          <w:szCs w:val="22"/>
          <w:color w:val="auto"/>
        </w:rPr>
        <w:t>Payout as a Percentage of Target Award for the PSUs shall be determined as of the Maturity Date and paid in accordance with Section 2(a) above; provided, however, that number of Shares paid to the Employee shall be multiplied by a fraction, the numerator of which is the number of days elapsed from the Grant Date to the date of the Employee’s Disability, and denominator of which is 1095.</w:t>
      </w:r>
    </w:p>
    <w:p>
      <w:pPr>
        <w:spacing w:after="0" w:line="229" w:lineRule="exact"/>
        <w:rPr>
          <w:sz w:val="20"/>
          <w:szCs w:val="20"/>
          <w:color w:val="auto"/>
        </w:rPr>
      </w:pPr>
    </w:p>
    <w:p>
      <w:pPr>
        <w:ind w:firstLine="656"/>
        <w:spacing w:after="0" w:line="247" w:lineRule="auto"/>
        <w:tabs>
          <w:tab w:leader="none" w:pos="954"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If the termination of employment is because of the death of the Employee while in the employ of the Company or its Subsidiaries, then the continued employment requirement for the Employee shall cease to apply and the Share Payout as a Percentage of Target Award for the PSUs shall be determined as of the Maturity Date and paid in accordance with Section 2(a) above; provided, however, that the number of Shares to be paid to the Employee’s estate shall be multiplied by a fraction, the numerator of which is the number of days elapsed from the Grant Date to the date of the Employee’s death, and the denominator of which is 1095.</w:t>
      </w:r>
    </w:p>
    <w:p>
      <w:pPr>
        <w:spacing w:after="0" w:line="234" w:lineRule="exact"/>
        <w:rPr>
          <w:rFonts w:ascii="Arial" w:cs="Arial" w:eastAsia="Arial" w:hAnsi="Arial"/>
          <w:sz w:val="22"/>
          <w:szCs w:val="22"/>
          <w:color w:val="auto"/>
        </w:rPr>
      </w:pPr>
    </w:p>
    <w:p>
      <w:pPr>
        <w:ind w:firstLine="656"/>
        <w:spacing w:after="0" w:line="294" w:lineRule="auto"/>
        <w:tabs>
          <w:tab w:leader="none" w:pos="942"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Qualifying Retirement</w:t>
      </w:r>
      <w:r>
        <w:rPr>
          <w:rFonts w:ascii="Arial" w:cs="Arial" w:eastAsia="Arial" w:hAnsi="Arial"/>
          <w:sz w:val="19"/>
          <w:szCs w:val="19"/>
          <w:color w:val="auto"/>
        </w:rPr>
        <w:t>. If such termination of employment is because of the Employee’s Qualifying Retirement (as defined in Section 2(g) below) while in the employ of the Company or its Subsidiaries, then the continued employment requirement for the Employee shall cease to apply and the Share Payout as a Percentage of Target Award for the PSUs shall be determined as of the Maturity Date and paid in accordance with Section 2(a) above; provided, however, that the number of Shares to be paid to the Employee shall be multiplied by a fraction, the numerator of which is the number of days elapsed from the Grant Date to the date of the Employee’s Qualifying Retirement, and the denominator of which is 1095.</w:t>
      </w:r>
    </w:p>
    <w:p>
      <w:pPr>
        <w:spacing w:after="0" w:line="190" w:lineRule="exact"/>
        <w:rPr>
          <w:rFonts w:ascii="Arial" w:cs="Arial" w:eastAsia="Arial" w:hAnsi="Arial"/>
          <w:sz w:val="19"/>
          <w:szCs w:val="19"/>
          <w:color w:val="auto"/>
        </w:rPr>
      </w:pPr>
    </w:p>
    <w:p>
      <w:pPr>
        <w:ind w:left="920" w:hanging="264"/>
        <w:spacing w:after="0"/>
        <w:tabs>
          <w:tab w:leader="none" w:pos="92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Qualifying Change in Control.</w:t>
      </w:r>
    </w:p>
    <w:p>
      <w:pPr>
        <w:spacing w:after="0" w:line="260" w:lineRule="exact"/>
        <w:rPr>
          <w:rFonts w:ascii="Arial" w:cs="Arial" w:eastAsia="Arial" w:hAnsi="Arial"/>
          <w:sz w:val="22"/>
          <w:szCs w:val="22"/>
          <w:color w:val="auto"/>
        </w:rPr>
      </w:pPr>
    </w:p>
    <w:p>
      <w:pPr>
        <w:jc w:val="both"/>
        <w:ind w:left="660" w:right="40" w:firstLine="645"/>
        <w:spacing w:after="0" w:line="250" w:lineRule="auto"/>
        <w:tabs>
          <w:tab w:leader="none" w:pos="1614" w:val="left"/>
        </w:tabs>
        <w:numPr>
          <w:ilvl w:val="1"/>
          <w:numId w:val="33"/>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any employment agreement, severance agreement, change in control agreement or other agreement with the Employee, this Section 2(f) shall apply if a Change in Control (as defined in Section 2(g) below) occurs prior to the Maturity Date (a “</w:t>
      </w:r>
      <w:r>
        <w:rPr>
          <w:rFonts w:ascii="Arial" w:cs="Arial" w:eastAsia="Arial" w:hAnsi="Arial"/>
          <w:sz w:val="22"/>
          <w:szCs w:val="22"/>
          <w:u w:val="single" w:color="auto"/>
          <w:color w:val="auto"/>
        </w:rPr>
        <w:t>Qualifying Change in Control</w:t>
      </w:r>
      <w:r>
        <w:rPr>
          <w:rFonts w:ascii="Arial" w:cs="Arial" w:eastAsia="Arial" w:hAnsi="Arial"/>
          <w:sz w:val="22"/>
          <w:szCs w:val="22"/>
          <w:color w:val="auto"/>
        </w:rPr>
        <w:t>”) and while the Employee is in the employ of the Company or a Subsidiary.</w:t>
      </w:r>
    </w:p>
    <w:p>
      <w:pPr>
        <w:spacing w:after="0" w:line="228" w:lineRule="exact"/>
        <w:rPr>
          <w:rFonts w:ascii="Arial" w:cs="Arial" w:eastAsia="Arial" w:hAnsi="Arial"/>
          <w:sz w:val="22"/>
          <w:szCs w:val="22"/>
          <w:color w:val="auto"/>
        </w:rPr>
      </w:pPr>
    </w:p>
    <w:p>
      <w:pPr>
        <w:ind w:left="660" w:right="20" w:firstLine="645"/>
        <w:spacing w:after="0" w:line="290" w:lineRule="auto"/>
        <w:tabs>
          <w:tab w:leader="none" w:pos="1614" w:val="left"/>
        </w:tabs>
        <w:numPr>
          <w:ilvl w:val="1"/>
          <w:numId w:val="33"/>
        </w:numPr>
        <w:rPr>
          <w:rFonts w:ascii="Arial" w:cs="Arial" w:eastAsia="Arial" w:hAnsi="Arial"/>
          <w:sz w:val="19"/>
          <w:szCs w:val="19"/>
          <w:color w:val="auto"/>
        </w:rPr>
      </w:pPr>
      <w:r>
        <w:rPr>
          <w:rFonts w:ascii="Arial" w:cs="Arial" w:eastAsia="Arial" w:hAnsi="Arial"/>
          <w:sz w:val="19"/>
          <w:szCs w:val="19"/>
          <w:color w:val="auto"/>
        </w:rPr>
        <w:t>Effective as of immediately prior to a Qualifying Change in Control, but subject to the occurrence of such Change in Control, the number of PSUs eligible to be vested shall be equal to the greater of the number of Shares under (i) the Target Award multiplied by a fraction, the numerator of which is the number of days elapsed from the Grant Date to the date of the Qualifying Change in Control, and denominator of which is 1095, or (ii) the Share Payout as determined by the Committee under Section 2(a) above through the latest practicable date prior to such Change in Control. For purposes of this Section 2(f)(2), the Company Relative TSR Percentile Rank shall be determined by reference to the Company’s average relative TSR rank on the thirty (30) consecutive trading days immediately preceding the Qualifying Change in Control. The number of PSUs determined in accordance with this Section 2(f)(2) is referred to as the “</w:t>
      </w:r>
      <w:r>
        <w:rPr>
          <w:rFonts w:ascii="Arial" w:cs="Arial" w:eastAsia="Arial" w:hAnsi="Arial"/>
          <w:sz w:val="19"/>
          <w:szCs w:val="19"/>
          <w:u w:val="single" w:color="auto"/>
          <w:color w:val="auto"/>
        </w:rPr>
        <w:t>CIC Adjusted PSUs</w:t>
      </w:r>
      <w:r>
        <w:rPr>
          <w:rFonts w:ascii="Arial" w:cs="Arial" w:eastAsia="Arial" w:hAnsi="Arial"/>
          <w:sz w:val="19"/>
          <w:szCs w:val="19"/>
          <w:color w:val="auto"/>
        </w:rPr>
        <w: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02" w:name="page103"/>
    <w:bookmarkEnd w:id="102"/>
    <w:p>
      <w:pPr>
        <w:ind w:right="40" w:firstLine="645"/>
        <w:spacing w:after="0" w:line="288" w:lineRule="auto"/>
        <w:tabs>
          <w:tab w:leader="none" w:pos="954"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CIC Adjusted PSUs shall become vested on a Qualifying Change in Control and settled within five days following the occurrence of such Change in Control if a replacement or substitute award meeting the requirements of this Section 2(f)(3) is not provided to the Employee in respect of such PSUs. An award meeting the requirements of this Section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2(f)(3) is referred to below as a “</w:t>
      </w:r>
      <w:r>
        <w:rPr>
          <w:rFonts w:ascii="Arial" w:cs="Arial" w:eastAsia="Arial" w:hAnsi="Arial"/>
          <w:sz w:val="22"/>
          <w:szCs w:val="22"/>
          <w:u w:val="single" w:color="auto"/>
          <w:color w:val="auto"/>
        </w:rPr>
        <w:t>Replacement Award</w:t>
      </w:r>
      <w:r>
        <w:rPr>
          <w:rFonts w:ascii="Arial" w:cs="Arial" w:eastAsia="Arial" w:hAnsi="Arial"/>
          <w:sz w:val="22"/>
          <w:szCs w:val="22"/>
          <w:color w:val="auto"/>
        </w:rPr>
        <w:t>”. An award shall qualify as a Replacement Award if:</w:t>
      </w:r>
    </w:p>
    <w:p>
      <w:pPr>
        <w:spacing w:after="0" w:line="242" w:lineRule="exact"/>
        <w:rPr>
          <w:rFonts w:ascii="Arial" w:cs="Arial" w:eastAsia="Arial" w:hAnsi="Arial"/>
          <w:sz w:val="19"/>
          <w:szCs w:val="19"/>
          <w:color w:val="auto"/>
        </w:rPr>
      </w:pPr>
    </w:p>
    <w:p>
      <w:pPr>
        <w:ind w:left="640" w:right="140" w:firstLine="653"/>
        <w:spacing w:after="0" w:line="253" w:lineRule="auto"/>
        <w:tabs>
          <w:tab w:leader="none" w:pos="1642" w:val="left"/>
        </w:tabs>
        <w:numPr>
          <w:ilvl w:val="1"/>
          <w:numId w:val="34"/>
        </w:numPr>
        <w:rPr>
          <w:rFonts w:ascii="Arial" w:cs="Arial" w:eastAsia="Arial" w:hAnsi="Arial"/>
          <w:sz w:val="22"/>
          <w:szCs w:val="22"/>
          <w:color w:val="auto"/>
        </w:rPr>
      </w:pPr>
      <w:r>
        <w:rPr>
          <w:rFonts w:ascii="Arial" w:cs="Arial" w:eastAsia="Arial" w:hAnsi="Arial"/>
          <w:sz w:val="22"/>
          <w:szCs w:val="22"/>
          <w:color w:val="auto"/>
        </w:rPr>
        <w:t>it is comprised of restricted stock units with respect to a publicly traded equity security of the Company or the surviving corporation or the ultimate parent of the applicable entity following the Qualifying Change in Control,</w:t>
      </w:r>
    </w:p>
    <w:p>
      <w:pPr>
        <w:spacing w:after="0" w:line="226" w:lineRule="exact"/>
        <w:rPr>
          <w:rFonts w:ascii="Arial" w:cs="Arial" w:eastAsia="Arial" w:hAnsi="Arial"/>
          <w:sz w:val="22"/>
          <w:szCs w:val="22"/>
          <w:color w:val="auto"/>
        </w:rPr>
      </w:pPr>
    </w:p>
    <w:p>
      <w:pPr>
        <w:ind w:left="640" w:right="360" w:firstLine="653"/>
        <w:spacing w:after="0" w:line="263" w:lineRule="auto"/>
        <w:tabs>
          <w:tab w:leader="none" w:pos="1630" w:val="left"/>
        </w:tabs>
        <w:numPr>
          <w:ilvl w:val="1"/>
          <w:numId w:val="34"/>
        </w:numPr>
        <w:rPr>
          <w:rFonts w:ascii="Arial" w:cs="Arial" w:eastAsia="Arial" w:hAnsi="Arial"/>
          <w:sz w:val="22"/>
          <w:szCs w:val="22"/>
          <w:color w:val="auto"/>
        </w:rPr>
      </w:pPr>
      <w:r>
        <w:rPr>
          <w:rFonts w:ascii="Arial" w:cs="Arial" w:eastAsia="Arial" w:hAnsi="Arial"/>
          <w:sz w:val="22"/>
          <w:szCs w:val="22"/>
          <w:color w:val="auto"/>
        </w:rPr>
        <w:t>it has a fair market value at least equal to the fair market value of the CIC Adjusted PSUs established pursuant to Section 2(f)(2) as of the date of the Qualifying Change in Control,</w:t>
      </w:r>
    </w:p>
    <w:p>
      <w:pPr>
        <w:spacing w:after="0" w:line="215" w:lineRule="exact"/>
        <w:rPr>
          <w:rFonts w:ascii="Arial" w:cs="Arial" w:eastAsia="Arial" w:hAnsi="Arial"/>
          <w:sz w:val="22"/>
          <w:szCs w:val="22"/>
          <w:color w:val="auto"/>
        </w:rPr>
      </w:pPr>
    </w:p>
    <w:p>
      <w:pPr>
        <w:ind w:left="640" w:right="80" w:firstLine="653"/>
        <w:spacing w:after="0" w:line="253" w:lineRule="auto"/>
        <w:tabs>
          <w:tab w:leader="none" w:pos="1630" w:val="left"/>
        </w:tabs>
        <w:numPr>
          <w:ilvl w:val="1"/>
          <w:numId w:val="34"/>
        </w:numPr>
        <w:rPr>
          <w:rFonts w:ascii="Arial" w:cs="Arial" w:eastAsia="Arial" w:hAnsi="Arial"/>
          <w:sz w:val="22"/>
          <w:szCs w:val="22"/>
          <w:color w:val="auto"/>
        </w:rPr>
      </w:pPr>
      <w:r>
        <w:rPr>
          <w:rFonts w:ascii="Arial" w:cs="Arial" w:eastAsia="Arial" w:hAnsi="Arial"/>
          <w:sz w:val="22"/>
          <w:szCs w:val="22"/>
          <w:color w:val="auto"/>
        </w:rPr>
        <w:t>it contains terms relating to service-based vesting (including with respect to termination of employment) that are substantially identical to the terms set forth in this Agreement and does not contain any terms related to performance-based vesting, and</w:t>
      </w:r>
    </w:p>
    <w:p>
      <w:pPr>
        <w:spacing w:after="0" w:line="226" w:lineRule="exact"/>
        <w:rPr>
          <w:rFonts w:ascii="Arial" w:cs="Arial" w:eastAsia="Arial" w:hAnsi="Arial"/>
          <w:sz w:val="22"/>
          <w:szCs w:val="22"/>
          <w:color w:val="auto"/>
        </w:rPr>
      </w:pPr>
    </w:p>
    <w:p>
      <w:pPr>
        <w:ind w:left="640" w:right="280" w:firstLine="653"/>
        <w:spacing w:after="0" w:line="253" w:lineRule="auto"/>
        <w:tabs>
          <w:tab w:leader="none" w:pos="1642" w:val="left"/>
        </w:tabs>
        <w:numPr>
          <w:ilvl w:val="1"/>
          <w:numId w:val="34"/>
        </w:numPr>
        <w:rPr>
          <w:rFonts w:ascii="Arial" w:cs="Arial" w:eastAsia="Arial" w:hAnsi="Arial"/>
          <w:sz w:val="22"/>
          <w:szCs w:val="22"/>
          <w:color w:val="auto"/>
        </w:rPr>
      </w:pPr>
      <w:r>
        <w:rPr>
          <w:rFonts w:ascii="Arial" w:cs="Arial" w:eastAsia="Arial" w:hAnsi="Arial"/>
          <w:sz w:val="22"/>
          <w:szCs w:val="22"/>
          <w:color w:val="auto"/>
        </w:rPr>
        <w:t>its other terms and conditions are not less favorable to the Employee than the terms and conditions set forth in this Agreement or in the Plan (including provisions that apply in the event of a subsequent Change in Control) as of the date of the Qualifying Change in Control.</w:t>
      </w:r>
    </w:p>
    <w:p>
      <w:pPr>
        <w:spacing w:after="0" w:line="22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determination of whether the conditions of this Section 2(f)(3) are satisfied shall be made by the Committee, as constituted immediately prior to a Qualifying Change in Control, in its sole discretion, prior to such Change in Control. If a Replacement Award is provided, the CIC Adjusted PSUs shall not be settled upon a Qualifying Change in Control, but instead as provided under Section 2(f)(4) below.</w:t>
      </w:r>
    </w:p>
    <w:p>
      <w:pPr>
        <w:spacing w:after="0" w:line="229" w:lineRule="exact"/>
        <w:rPr>
          <w:sz w:val="20"/>
          <w:szCs w:val="20"/>
          <w:color w:val="auto"/>
        </w:rPr>
      </w:pPr>
    </w:p>
    <w:p>
      <w:pPr>
        <w:ind w:firstLine="645"/>
        <w:spacing w:after="0" w:line="289" w:lineRule="auto"/>
        <w:tabs>
          <w:tab w:leader="none" w:pos="954" w:val="left"/>
        </w:tabs>
        <w:numPr>
          <w:ilvl w:val="0"/>
          <w:numId w:val="35"/>
        </w:numPr>
        <w:rPr>
          <w:rFonts w:ascii="Arial" w:cs="Arial" w:eastAsia="Arial" w:hAnsi="Arial"/>
          <w:sz w:val="19"/>
          <w:szCs w:val="19"/>
          <w:color w:val="auto"/>
        </w:rPr>
      </w:pPr>
      <w:r>
        <w:rPr>
          <w:rFonts w:ascii="Arial" w:cs="Arial" w:eastAsia="Arial" w:hAnsi="Arial"/>
          <w:sz w:val="19"/>
          <w:szCs w:val="19"/>
          <w:color w:val="auto"/>
        </w:rPr>
        <w:t>If, in connection with a Qualifying Change in Control, the Employee is provided with a Replacement Award, such Replacement Award shall vest on the Maturity Date and be settled at the time as set forth in Section 2(a), subject to the Employee having not incurred a termination of employment with the Company and its Subsidiaries prior to the Maturity Date; provided that, if, within two years following such Change in Control, the Employee incurs a termination of employment due to being a Good Leaver (as defined in Section 2(g) below), then the Replacement Award shall become fully vested effective as of such termination of employment, and the Company shall issue one share to the Employee for each share under the Replacement Award as soon as reasonably practicable, and in no event more than 10 days, following such termination of employment. For purposes of determining the time of an accelerated payout under this Section 2(f)(4), a termination of employment shall mean a “separation of service” within the meaning of Section 409A of the Code.</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40"/>
          </w:cols>
          <w:pgMar w:left="900" w:top="375" w:right="259" w:bottom="1440" w:gutter="0" w:footer="0" w:header="0"/>
        </w:sectPr>
      </w:pPr>
    </w:p>
    <w:bookmarkStart w:id="103" w:name="page104"/>
    <w:bookmarkEnd w:id="103"/>
    <w:p>
      <w:pPr>
        <w:ind w:left="304" w:hanging="304"/>
        <w:spacing w:after="0"/>
        <w:tabs>
          <w:tab w:leader="none" w:pos="304"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Special Definitions</w:t>
      </w:r>
      <w:r>
        <w:rPr>
          <w:rFonts w:ascii="Arial" w:cs="Arial" w:eastAsia="Arial" w:hAnsi="Arial"/>
          <w:sz w:val="21"/>
          <w:szCs w:val="21"/>
          <w:color w:val="auto"/>
        </w:rPr>
        <w:t>. For purposes of this Agreement, the following terms have the meanings set forth below:</w:t>
      </w:r>
    </w:p>
    <w:p>
      <w:pPr>
        <w:spacing w:after="0" w:line="271" w:lineRule="exact"/>
        <w:rPr>
          <w:rFonts w:ascii="Arial" w:cs="Arial" w:eastAsia="Arial" w:hAnsi="Arial"/>
          <w:sz w:val="21"/>
          <w:szCs w:val="21"/>
          <w:color w:val="auto"/>
        </w:rPr>
      </w:pPr>
    </w:p>
    <w:p>
      <w:pPr>
        <w:ind w:left="964" w:hanging="315"/>
        <w:spacing w:after="0"/>
        <w:tabs>
          <w:tab w:leader="none" w:pos="964" w:val="left"/>
        </w:tabs>
        <w:numPr>
          <w:ilvl w:val="1"/>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to occur of the following events.</w:t>
      </w:r>
    </w:p>
    <w:p>
      <w:pPr>
        <w:spacing w:after="0" w:line="260" w:lineRule="exact"/>
        <w:rPr>
          <w:rFonts w:ascii="Arial" w:cs="Arial" w:eastAsia="Arial" w:hAnsi="Arial"/>
          <w:sz w:val="22"/>
          <w:szCs w:val="22"/>
          <w:color w:val="auto"/>
        </w:rPr>
      </w:pPr>
    </w:p>
    <w:p>
      <w:pPr>
        <w:ind w:left="644" w:right="60" w:firstLine="653"/>
        <w:spacing w:after="0" w:line="248" w:lineRule="auto"/>
        <w:tabs>
          <w:tab w:leader="none" w:pos="1646" w:val="left"/>
        </w:tabs>
        <w:numPr>
          <w:ilvl w:val="2"/>
          <w:numId w:val="36"/>
        </w:numPr>
        <w:rPr>
          <w:rFonts w:ascii="Arial" w:cs="Arial" w:eastAsia="Arial" w:hAnsi="Arial"/>
          <w:sz w:val="22"/>
          <w:szCs w:val="22"/>
          <w:color w:val="auto"/>
        </w:rPr>
      </w:pPr>
      <w:r>
        <w:rPr>
          <w:rFonts w:ascii="Arial" w:cs="Arial" w:eastAsia="Arial" w:hAnsi="Arial"/>
          <w:sz w:val="22"/>
          <w:szCs w:val="22"/>
          <w:color w:val="auto"/>
        </w:rPr>
        <w:t>a person, or any two or more persons acting as a group, and all affiliates of such person or persons, who prior to such time owned less than fifty percent (50%) of the Company’s then outstanding Shares, shall acquire such additional Shares in one or more transactions, or series of transactions, such that following such transaction or transactions such person or group and affiliates beneficially own fifty percent (50%) or more of the Shares outstanding,</w:t>
      </w:r>
    </w:p>
    <w:p>
      <w:pPr>
        <w:spacing w:after="0" w:line="232" w:lineRule="exact"/>
        <w:rPr>
          <w:rFonts w:ascii="Arial" w:cs="Arial" w:eastAsia="Arial" w:hAnsi="Arial"/>
          <w:sz w:val="22"/>
          <w:szCs w:val="22"/>
          <w:color w:val="auto"/>
        </w:rPr>
      </w:pPr>
    </w:p>
    <w:p>
      <w:pPr>
        <w:ind w:left="644" w:right="300" w:firstLine="653"/>
        <w:spacing w:after="0" w:line="263" w:lineRule="auto"/>
        <w:tabs>
          <w:tab w:leader="none" w:pos="1634" w:val="left"/>
        </w:tabs>
        <w:numPr>
          <w:ilvl w:val="2"/>
          <w:numId w:val="36"/>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w:t>
      </w:r>
    </w:p>
    <w:p>
      <w:pPr>
        <w:spacing w:after="0" w:line="215" w:lineRule="exact"/>
        <w:rPr>
          <w:rFonts w:ascii="Arial" w:cs="Arial" w:eastAsia="Arial" w:hAnsi="Arial"/>
          <w:sz w:val="22"/>
          <w:szCs w:val="22"/>
          <w:color w:val="auto"/>
        </w:rPr>
      </w:pPr>
    </w:p>
    <w:p>
      <w:pPr>
        <w:ind w:left="644" w:right="180" w:firstLine="653"/>
        <w:spacing w:after="0" w:line="292" w:lineRule="auto"/>
        <w:tabs>
          <w:tab w:leader="none" w:pos="1634" w:val="left"/>
        </w:tabs>
        <w:numPr>
          <w:ilvl w:val="2"/>
          <w:numId w:val="36"/>
        </w:numPr>
        <w:rPr>
          <w:rFonts w:ascii="Arial" w:cs="Arial" w:eastAsia="Arial" w:hAnsi="Arial"/>
          <w:sz w:val="19"/>
          <w:szCs w:val="19"/>
          <w:color w:val="auto"/>
        </w:rPr>
      </w:pPr>
      <w:r>
        <w:rPr>
          <w:rFonts w:ascii="Arial" w:cs="Arial" w:eastAsia="Arial" w:hAnsi="Arial"/>
          <w:sz w:val="19"/>
          <w:szCs w:val="19"/>
          <w:color w:val="auto"/>
        </w:rPr>
        <w:t>individuals who constitute the Incumbent Board cease for any reason to constitute at least a majority of the Company’s Board of Directors (for this purpose, “Incumbent Board” means at any time those persons who are then members of the Company’s Board of Directors and who are either (i) members of the Company’s Board of Directors on the date of this Agreement, or (ii) have been elected, or have been nominated for election by the Company’s shareholders, by the affirmative vote of at least two-thirds of the directors comprising the Incumbent Board at the time of such election or nomination (either by a specific vote or by approval of the proxy statement of the Company in which such person is named as a nominee for director without objection to such nomination), and</w:t>
      </w:r>
    </w:p>
    <w:p>
      <w:pPr>
        <w:spacing w:after="0" w:line="192" w:lineRule="exact"/>
        <w:rPr>
          <w:rFonts w:ascii="Arial" w:cs="Arial" w:eastAsia="Arial" w:hAnsi="Arial"/>
          <w:sz w:val="19"/>
          <w:szCs w:val="19"/>
          <w:color w:val="auto"/>
        </w:rPr>
      </w:pPr>
    </w:p>
    <w:p>
      <w:pPr>
        <w:ind w:left="644" w:firstLine="653"/>
        <w:spacing w:after="0" w:line="246" w:lineRule="auto"/>
        <w:tabs>
          <w:tab w:leader="none" w:pos="1646" w:val="left"/>
        </w:tabs>
        <w:numPr>
          <w:ilvl w:val="2"/>
          <w:numId w:val="36"/>
        </w:numPr>
        <w:rPr>
          <w:rFonts w:ascii="Arial" w:cs="Arial" w:eastAsia="Arial" w:hAnsi="Arial"/>
          <w:sz w:val="22"/>
          <w:szCs w:val="22"/>
          <w:color w:val="auto"/>
        </w:rPr>
      </w:pPr>
      <w:r>
        <w:rPr>
          <w:rFonts w:ascii="Arial" w:cs="Arial" w:eastAsia="Arial" w:hAnsi="Arial"/>
          <w:sz w:val="22"/>
          <w:szCs w:val="22"/>
          <w:color w:val="auto"/>
        </w:rPr>
        <w:t>the consummation of any merger, reorganization, consolidation or share exchange unless the persons who were the beneficial owners of the Company’s outstanding Shares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by the persons described above immediately before the consummation of such transaction.</w:t>
      </w:r>
    </w:p>
    <w:p>
      <w:pPr>
        <w:spacing w:after="0" w:line="235" w:lineRule="exact"/>
        <w:rPr>
          <w:sz w:val="20"/>
          <w:szCs w:val="20"/>
          <w:color w:val="auto"/>
        </w:rPr>
      </w:pPr>
    </w:p>
    <w:p>
      <w:pPr>
        <w:jc w:val="both"/>
        <w:ind w:left="4" w:right="120"/>
        <w:spacing w:after="0" w:line="253" w:lineRule="auto"/>
        <w:rPr>
          <w:sz w:val="20"/>
          <w:szCs w:val="20"/>
          <w:color w:val="auto"/>
        </w:rPr>
      </w:pPr>
      <w:r>
        <w:rPr>
          <w:rFonts w:ascii="Arial" w:cs="Arial" w:eastAsia="Arial" w:hAnsi="Arial"/>
          <w:sz w:val="22"/>
          <w:szCs w:val="22"/>
          <w:color w:val="auto"/>
        </w:rPr>
        <w:t>Notwithstanding the foregoing, none of the above events or conditions shall constitute a Change in Control for purposes of this Agreement unless the event or condition also constitutes a “Change in Control Event” for purposes of Treas. Reg. §1. 409A-3(i)(5).</w:t>
      </w:r>
    </w:p>
    <w:p>
      <w:pPr>
        <w:spacing w:after="0" w:line="226" w:lineRule="exact"/>
        <w:rPr>
          <w:sz w:val="20"/>
          <w:szCs w:val="20"/>
          <w:color w:val="auto"/>
        </w:rPr>
      </w:pPr>
    </w:p>
    <w:p>
      <w:pPr>
        <w:ind w:left="4" w:right="20" w:firstLine="645"/>
        <w:spacing w:after="0" w:line="263" w:lineRule="auto"/>
        <w:tabs>
          <w:tab w:leader="none" w:pos="958"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has the meaning given it in Article 2 of the Plan; provided, however, that the Employee must also be considered to be “disabled” for purposes of Treas. Reg. §1.409A-3(i)(4).</w:t>
      </w:r>
    </w:p>
    <w:p>
      <w:pPr>
        <w:spacing w:after="0" w:line="202"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44"/>
          </w:cols>
          <w:pgMar w:left="896" w:top="375" w:right="259" w:bottom="1440" w:gutter="0" w:footer="0" w:header="0"/>
        </w:sectPr>
      </w:pPr>
    </w:p>
    <w:bookmarkStart w:id="104" w:name="page105"/>
    <w:bookmarkEnd w:id="104"/>
    <w:p>
      <w:pPr>
        <w:jc w:val="both"/>
        <w:ind w:right="120" w:firstLine="645"/>
        <w:spacing w:after="0" w:line="253" w:lineRule="auto"/>
        <w:tabs>
          <w:tab w:leader="none" w:pos="954" w:val="left"/>
        </w:tabs>
        <w:numPr>
          <w:ilvl w:val="0"/>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Leaver</w:t>
      </w:r>
      <w:r>
        <w:rPr>
          <w:rFonts w:ascii="Arial" w:cs="Arial" w:eastAsia="Arial" w:hAnsi="Arial"/>
          <w:sz w:val="22"/>
          <w:szCs w:val="22"/>
          <w:color w:val="auto"/>
        </w:rPr>
        <w:t>” means the involuntary termination of the Employee’s employment by the Company other than a Termination for Cause, the Employee’s resignation for Good Reason, or the Employee’s termination of employment due to death, Disability or a Qualifying Retirement.</w:t>
      </w:r>
    </w:p>
    <w:p>
      <w:pPr>
        <w:spacing w:after="0" w:line="226" w:lineRule="exact"/>
        <w:rPr>
          <w:rFonts w:ascii="Arial" w:cs="Arial" w:eastAsia="Arial" w:hAnsi="Arial"/>
          <w:sz w:val="22"/>
          <w:szCs w:val="22"/>
          <w:color w:val="auto"/>
        </w:rPr>
      </w:pPr>
    </w:p>
    <w:p>
      <w:pPr>
        <w:jc w:val="both"/>
        <w:ind w:right="80" w:firstLine="645"/>
        <w:spacing w:after="0" w:line="271" w:lineRule="auto"/>
        <w:tabs>
          <w:tab w:leader="none" w:pos="954" w:val="left"/>
        </w:tabs>
        <w:numPr>
          <w:ilvl w:val="0"/>
          <w:numId w:val="3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shall have the meaning given to such term in an employment agreement, severance or change in control agreement or, if there is no such agreement or if it does not define Good Reason, then Good Reason shall mean the occurrence of any one of the following, in the absence of Employee’s written consent:</w:t>
      </w:r>
    </w:p>
    <w:p>
      <w:pPr>
        <w:spacing w:after="0" w:line="208" w:lineRule="exact"/>
        <w:rPr>
          <w:rFonts w:ascii="Arial" w:cs="Arial" w:eastAsia="Arial" w:hAnsi="Arial"/>
          <w:sz w:val="21"/>
          <w:szCs w:val="21"/>
          <w:color w:val="auto"/>
        </w:rPr>
      </w:pPr>
    </w:p>
    <w:p>
      <w:pPr>
        <w:ind w:left="640" w:firstLine="653"/>
        <w:spacing w:after="0" w:line="263" w:lineRule="auto"/>
        <w:tabs>
          <w:tab w:leader="none" w:pos="1642" w:val="left"/>
        </w:tabs>
        <w:numPr>
          <w:ilvl w:val="1"/>
          <w:numId w:val="38"/>
        </w:numPr>
        <w:rPr>
          <w:rFonts w:ascii="Arial" w:cs="Arial" w:eastAsia="Arial" w:hAnsi="Arial"/>
          <w:sz w:val="22"/>
          <w:szCs w:val="22"/>
          <w:color w:val="auto"/>
        </w:rPr>
      </w:pPr>
      <w:r>
        <w:rPr>
          <w:rFonts w:ascii="Arial" w:cs="Arial" w:eastAsia="Arial" w:hAnsi="Arial"/>
          <w:sz w:val="22"/>
          <w:szCs w:val="22"/>
          <w:color w:val="auto"/>
        </w:rPr>
        <w:t>a material diminution in the Employee’s annual base salary or target annual incentive compensation from that in effect immediately prior to a Qualifying Change in Control,</w:t>
      </w:r>
    </w:p>
    <w:p>
      <w:pPr>
        <w:spacing w:after="0" w:line="215" w:lineRule="exact"/>
        <w:rPr>
          <w:rFonts w:ascii="Arial" w:cs="Arial" w:eastAsia="Arial" w:hAnsi="Arial"/>
          <w:sz w:val="22"/>
          <w:szCs w:val="22"/>
          <w:color w:val="auto"/>
        </w:rPr>
      </w:pPr>
    </w:p>
    <w:p>
      <w:pPr>
        <w:ind w:left="640" w:right="40" w:firstLine="653"/>
        <w:spacing w:after="0" w:line="265" w:lineRule="auto"/>
        <w:tabs>
          <w:tab w:leader="none" w:pos="1630"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the assignment to the Employee of any duties materially inconsistent with Employee’s positions (including status, offices, titles, and reporting requirements), authority, duties, or responsibilities, or any other action by the Company that results in a material diminution in such positions, authority, duties, or responsibilities, in each case, from those in effect immediately prior to a Qualifying Change in Control or</w:t>
      </w:r>
    </w:p>
    <w:p>
      <w:pPr>
        <w:spacing w:after="0" w:line="216" w:lineRule="exact"/>
        <w:rPr>
          <w:rFonts w:ascii="Arial" w:cs="Arial" w:eastAsia="Arial" w:hAnsi="Arial"/>
          <w:sz w:val="21"/>
          <w:szCs w:val="21"/>
          <w:color w:val="auto"/>
        </w:rPr>
      </w:pPr>
    </w:p>
    <w:p>
      <w:pPr>
        <w:ind w:left="640" w:right="80" w:firstLine="653"/>
        <w:spacing w:after="0" w:line="253" w:lineRule="auto"/>
        <w:tabs>
          <w:tab w:leader="none" w:pos="163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relocation of the Employee to a work location more than 50 miles from the Employee’s current work location (unless, as a result of such relocation, the Employee’s work location is closer to his or her place of residence);</w:t>
      </w:r>
    </w:p>
    <w:p>
      <w:pPr>
        <w:spacing w:after="0" w:line="22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provided that, in each case, (i) the Employee provides written notice to the Company of the existence of one or more of the conditions described in clauses described above within 30 days following the Employee’s knowledge of the initial existence of such condition or conditions, specifying in reasonable detail the conditions constituting Good Reason, (ii) the Company and its Subsidiaries fail to cure such event or condition within 30 days following the receipt of such notice and (iii) the Employee incurs a termination of Employment within 30 days following the expiration of such cure period.</w:t>
      </w:r>
    </w:p>
    <w:p>
      <w:pPr>
        <w:spacing w:after="0" w:line="188" w:lineRule="exact"/>
        <w:rPr>
          <w:sz w:val="20"/>
          <w:szCs w:val="20"/>
          <w:color w:val="auto"/>
        </w:rPr>
      </w:pPr>
    </w:p>
    <w:p>
      <w:pPr>
        <w:ind w:firstLine="645"/>
        <w:spacing w:after="0" w:line="294" w:lineRule="auto"/>
        <w:tabs>
          <w:tab w:leader="none" w:pos="954"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Qualifying Retirement</w:t>
      </w:r>
      <w:r>
        <w:rPr>
          <w:rFonts w:ascii="Arial" w:cs="Arial" w:eastAsia="Arial" w:hAnsi="Arial"/>
          <w:sz w:val="19"/>
          <w:szCs w:val="19"/>
          <w:color w:val="auto"/>
        </w:rPr>
        <w:t>” shall mean that the Employee voluntarily retires from the employ of the Company or its Subsidiaries at or after both attaining age fifty-five (55) and completing five (5) consecutive years of service. For purposes of this Agreement, a “year of service” shall mean a twelve (12) month period of continuous full-time employment with the Company (determined without regard to any breaks in service due to any paid leave of absence or any unpaid leave of absence authorized in writing by the Company). For the avoidance of doubt, termination of the Employee’s employment by the Company, either with or without Cause, shall not be treated as a Qualifying Retirement.</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40"/>
          </w:cols>
          <w:pgMar w:left="900" w:top="631" w:right="259" w:bottom="1440" w:gutter="0" w:footer="0" w:header="0"/>
        </w:sectPr>
      </w:pPr>
    </w:p>
    <w:bookmarkStart w:id="105" w:name="page106"/>
    <w:bookmarkEnd w:id="105"/>
    <w:p>
      <w:pPr>
        <w:ind w:left="652" w:firstLine="645"/>
        <w:spacing w:after="0" w:line="259" w:lineRule="auto"/>
        <w:tabs>
          <w:tab w:leader="none" w:pos="1606" w:val="left"/>
        </w:tabs>
        <w:numPr>
          <w:ilvl w:val="2"/>
          <w:numId w:val="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for Cause</w:t>
      </w:r>
      <w:r>
        <w:rPr>
          <w:rFonts w:ascii="Arial" w:cs="Arial" w:eastAsia="Arial" w:hAnsi="Arial"/>
          <w:sz w:val="21"/>
          <w:szCs w:val="21"/>
          <w:color w:val="auto"/>
        </w:rPr>
        <w:t>” Unless otherwise provided under the termination with cause provisions of an individual employment agreement or change in control agreement, to invoke a Termination with Cause, the Company must provide written notice to the Employee of the existence of one or more grounds for termination as set forth below within 30 days following the Company’s knowledge of the existence of such grounds, specifying in reasonable detail the grounds constituting cause, and, with respect to the grounds enumerated in clauses (B), (C) and (D) below, the Employee shall have 30 days following receipt of such written notice during which to remedy any such ground if it is reasonably subject to cure. “Cause” shall have the meaning given to such term in an employment agreement or change in control agreement covering the Employee or, if there is no such agreement or if it does not define Cause, then Cause shall mean the occurrence of any one of the following:</w:t>
      </w:r>
    </w:p>
    <w:p>
      <w:pPr>
        <w:spacing w:after="0" w:line="220" w:lineRule="exact"/>
        <w:rPr>
          <w:rFonts w:ascii="Arial" w:cs="Arial" w:eastAsia="Arial" w:hAnsi="Arial"/>
          <w:sz w:val="21"/>
          <w:szCs w:val="21"/>
          <w:color w:val="auto"/>
        </w:rPr>
      </w:pPr>
    </w:p>
    <w:p>
      <w:pPr>
        <w:ind w:left="1292" w:right="800" w:firstLine="653"/>
        <w:spacing w:after="0" w:line="263" w:lineRule="auto"/>
        <w:tabs>
          <w:tab w:leader="none" w:pos="2294" w:val="left"/>
        </w:tabs>
        <w:numPr>
          <w:ilvl w:val="3"/>
          <w:numId w:val="40"/>
        </w:numPr>
        <w:rPr>
          <w:rFonts w:ascii="Arial" w:cs="Arial" w:eastAsia="Arial" w:hAnsi="Arial"/>
          <w:sz w:val="22"/>
          <w:szCs w:val="22"/>
          <w:color w:val="auto"/>
        </w:rPr>
      </w:pPr>
      <w:r>
        <w:rPr>
          <w:rFonts w:ascii="Arial" w:cs="Arial" w:eastAsia="Arial" w:hAnsi="Arial"/>
          <w:sz w:val="22"/>
          <w:szCs w:val="22"/>
          <w:color w:val="auto"/>
        </w:rPr>
        <w:t>Employee’s conviction of (or a plea of guilty or nolo contendere to) a felony or any other crime involving moral turpitude, dishonesty, fraud, theft or financial impropriety,</w:t>
      </w:r>
    </w:p>
    <w:p>
      <w:pPr>
        <w:spacing w:after="0" w:line="215" w:lineRule="exact"/>
        <w:rPr>
          <w:rFonts w:ascii="Arial" w:cs="Arial" w:eastAsia="Arial" w:hAnsi="Arial"/>
          <w:sz w:val="22"/>
          <w:szCs w:val="22"/>
          <w:color w:val="auto"/>
        </w:rPr>
      </w:pPr>
    </w:p>
    <w:p>
      <w:pPr>
        <w:ind w:left="1292" w:right="600" w:firstLine="653"/>
        <w:spacing w:after="0" w:line="263" w:lineRule="auto"/>
        <w:tabs>
          <w:tab w:leader="none" w:pos="2282" w:val="left"/>
        </w:tabs>
        <w:numPr>
          <w:ilvl w:val="3"/>
          <w:numId w:val="40"/>
        </w:numPr>
        <w:rPr>
          <w:rFonts w:ascii="Arial" w:cs="Arial" w:eastAsia="Arial" w:hAnsi="Arial"/>
          <w:sz w:val="22"/>
          <w:szCs w:val="22"/>
          <w:color w:val="auto"/>
        </w:rPr>
      </w:pPr>
      <w:r>
        <w:rPr>
          <w:rFonts w:ascii="Arial" w:cs="Arial" w:eastAsia="Arial" w:hAnsi="Arial"/>
          <w:sz w:val="22"/>
          <w:szCs w:val="22"/>
          <w:color w:val="auto"/>
        </w:rPr>
        <w:t>the Employee’s failure to perform substantially the Employee’s duties (other than any such failure resulting from Disability),</w:t>
      </w:r>
    </w:p>
    <w:p>
      <w:pPr>
        <w:spacing w:after="0" w:line="215" w:lineRule="exact"/>
        <w:rPr>
          <w:rFonts w:ascii="Arial" w:cs="Arial" w:eastAsia="Arial" w:hAnsi="Arial"/>
          <w:sz w:val="22"/>
          <w:szCs w:val="22"/>
          <w:color w:val="auto"/>
        </w:rPr>
      </w:pPr>
    </w:p>
    <w:p>
      <w:pPr>
        <w:ind w:left="2292" w:hanging="347"/>
        <w:spacing w:after="0"/>
        <w:tabs>
          <w:tab w:leader="none" w:pos="2292" w:val="left"/>
        </w:tabs>
        <w:numPr>
          <w:ilvl w:val="3"/>
          <w:numId w:val="40"/>
        </w:numPr>
        <w:rPr>
          <w:rFonts w:ascii="Arial" w:cs="Arial" w:eastAsia="Arial" w:hAnsi="Arial"/>
          <w:sz w:val="22"/>
          <w:szCs w:val="22"/>
          <w:color w:val="auto"/>
        </w:rPr>
      </w:pPr>
      <w:r>
        <w:rPr>
          <w:rFonts w:ascii="Arial" w:cs="Arial" w:eastAsia="Arial" w:hAnsi="Arial"/>
          <w:sz w:val="22"/>
          <w:szCs w:val="22"/>
          <w:color w:val="auto"/>
        </w:rPr>
        <w:t>the Employee engaging in gross misconduct, or</w:t>
      </w:r>
    </w:p>
    <w:p>
      <w:pPr>
        <w:spacing w:after="0" w:line="260" w:lineRule="exact"/>
        <w:rPr>
          <w:rFonts w:ascii="Arial" w:cs="Arial" w:eastAsia="Arial" w:hAnsi="Arial"/>
          <w:sz w:val="22"/>
          <w:szCs w:val="22"/>
          <w:color w:val="auto"/>
        </w:rPr>
      </w:pPr>
    </w:p>
    <w:p>
      <w:pPr>
        <w:ind w:left="2292" w:hanging="347"/>
        <w:spacing w:after="0"/>
        <w:tabs>
          <w:tab w:leader="none" w:pos="2292" w:val="left"/>
        </w:tabs>
        <w:numPr>
          <w:ilvl w:val="3"/>
          <w:numId w:val="40"/>
        </w:numPr>
        <w:rPr>
          <w:rFonts w:ascii="Arial" w:cs="Arial" w:eastAsia="Arial" w:hAnsi="Arial"/>
          <w:sz w:val="22"/>
          <w:szCs w:val="22"/>
          <w:color w:val="auto"/>
        </w:rPr>
      </w:pPr>
      <w:r>
        <w:rPr>
          <w:rFonts w:ascii="Arial" w:cs="Arial" w:eastAsia="Arial" w:hAnsi="Arial"/>
          <w:sz w:val="22"/>
          <w:szCs w:val="22"/>
          <w:color w:val="auto"/>
        </w:rPr>
        <w:t>the Employee willfully violating a material Company policy.</w:t>
      </w:r>
    </w:p>
    <w:p>
      <w:pPr>
        <w:spacing w:after="0" w:line="254" w:lineRule="exact"/>
        <w:rPr>
          <w:rFonts w:ascii="Arial" w:cs="Arial" w:eastAsia="Arial" w:hAnsi="Arial"/>
          <w:sz w:val="22"/>
          <w:szCs w:val="22"/>
          <w:color w:val="auto"/>
        </w:rPr>
      </w:pPr>
    </w:p>
    <w:p>
      <w:pPr>
        <w:ind w:left="372" w:hanging="372"/>
        <w:spacing w:after="0"/>
        <w:tabs>
          <w:tab w:leader="none" w:pos="372"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w:t>
      </w:r>
    </w:p>
    <w:p>
      <w:pPr>
        <w:spacing w:after="0" w:line="266" w:lineRule="exact"/>
        <w:rPr>
          <w:rFonts w:ascii="Arial" w:cs="Arial" w:eastAsia="Arial" w:hAnsi="Arial"/>
          <w:sz w:val="22"/>
          <w:szCs w:val="22"/>
          <w:b w:val="1"/>
          <w:bCs w:val="1"/>
          <w:color w:val="auto"/>
        </w:rPr>
      </w:pPr>
    </w:p>
    <w:p>
      <w:pPr>
        <w:jc w:val="both"/>
        <w:ind w:left="-8" w:right="280" w:firstLine="656"/>
        <w:spacing w:after="0" w:line="250" w:lineRule="auto"/>
        <w:tabs>
          <w:tab w:leader="none" w:pos="934"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No Transfer.</w:t>
      </w:r>
      <w:r>
        <w:rPr>
          <w:rFonts w:ascii="Arial" w:cs="Arial" w:eastAsia="Arial" w:hAnsi="Arial"/>
          <w:sz w:val="22"/>
          <w:szCs w:val="22"/>
          <w:color w:val="auto"/>
        </w:rPr>
        <w:t xml:space="preserve"> The PSUs granted hereunder may not be sold, transferred, pledged, assigned, encumbered, or otherwise alienated or hypothecated by the Employee other than by will or by the laws of descent and distribution, and any such purported sale, transfer, pledge, assignment or encumbrance, alienation or hypothecation shall be void and unenforceable against the Company and its Subsidiaries.</w:t>
      </w:r>
    </w:p>
    <w:p>
      <w:pPr>
        <w:spacing w:after="0" w:line="228" w:lineRule="exact"/>
        <w:rPr>
          <w:rFonts w:ascii="Arial" w:cs="Arial" w:eastAsia="Arial" w:hAnsi="Arial"/>
          <w:sz w:val="22"/>
          <w:szCs w:val="22"/>
          <w:color w:val="auto"/>
        </w:rPr>
      </w:pPr>
    </w:p>
    <w:p>
      <w:pPr>
        <w:jc w:val="both"/>
        <w:ind w:left="-8" w:right="260" w:firstLine="656"/>
        <w:spacing w:after="0" w:line="250" w:lineRule="auto"/>
        <w:tabs>
          <w:tab w:leader="none" w:pos="946"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xml:space="preserve"> Except as provided for in Section 2, if the Employee’s employment with the Company terminates for any reason</w:t>
      </w:r>
      <w:r>
        <w:rPr>
          <w:rFonts w:ascii="Arial" w:cs="Arial" w:eastAsia="Arial" w:hAnsi="Arial"/>
          <w:sz w:val="22"/>
          <w:szCs w:val="22"/>
          <w:b w:val="1"/>
          <w:bCs w:val="1"/>
          <w:color w:val="auto"/>
        </w:rPr>
        <w:t>,</w:t>
      </w:r>
      <w:r>
        <w:rPr>
          <w:rFonts w:ascii="Arial" w:cs="Arial" w:eastAsia="Arial" w:hAnsi="Arial"/>
          <w:sz w:val="22"/>
          <w:szCs w:val="22"/>
          <w:color w:val="auto"/>
        </w:rPr>
        <w:t xml:space="preserve"> the balance of the PSUs subject to the provisions of this Agreement which have not vested at the time of the Employee’s termination of employment shall be forfeited by the Employee, and the Employee shall have no future rights with respect to any such unvested PSUs.</w:t>
      </w:r>
    </w:p>
    <w:p>
      <w:pPr>
        <w:spacing w:after="0" w:line="228" w:lineRule="exact"/>
        <w:rPr>
          <w:rFonts w:ascii="Arial" w:cs="Arial" w:eastAsia="Arial" w:hAnsi="Arial"/>
          <w:sz w:val="22"/>
          <w:szCs w:val="22"/>
          <w:color w:val="auto"/>
        </w:rPr>
      </w:pPr>
    </w:p>
    <w:p>
      <w:pPr>
        <w:ind w:left="-8" w:right="120" w:firstLine="656"/>
        <w:spacing w:after="0" w:line="263" w:lineRule="auto"/>
        <w:tabs>
          <w:tab w:leader="none" w:pos="934"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Clawback.</w:t>
      </w:r>
      <w:r>
        <w:rPr>
          <w:rFonts w:ascii="Arial" w:cs="Arial" w:eastAsia="Arial" w:hAnsi="Arial"/>
          <w:sz w:val="21"/>
          <w:szCs w:val="21"/>
          <w:color w:val="auto"/>
        </w:rPr>
        <w:t xml:space="preserve"> This award and any resulting settlement of this award in Shares is subject to set-off, recoupment, or other recovery or “clawback” policy as required by applicable law, including any national exchange listing standards, or by any other future Company policy on the clawback of compensation for other reasons, as may be in place from time to time. The foregoing provisions of this Section 3(c) shall cease to apply following a Change in Control, except as otherwise required by applicable law, including any national exchange listing standards.</w:t>
      </w:r>
    </w:p>
    <w:p>
      <w:pPr>
        <w:spacing w:after="0" w:line="203"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52"/>
          </w:cols>
          <w:pgMar w:left="248" w:top="375" w:right="299" w:bottom="1440" w:gutter="0" w:footer="0" w:header="0"/>
        </w:sectPr>
      </w:pPr>
    </w:p>
    <w:bookmarkStart w:id="106" w:name="page107"/>
    <w:bookmarkEnd w:id="106"/>
    <w:p>
      <w:pPr>
        <w:spacing w:after="0"/>
        <w:tabs>
          <w:tab w:leader="none" w:pos="3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color w:val="auto"/>
        </w:rPr>
        <w:t>Delivery of Shares.</w:t>
      </w:r>
    </w:p>
    <w:p>
      <w:pPr>
        <w:spacing w:after="0" w:line="266"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The means of settlement of vested PSUs is that the Company shall deliver to the Employee a certificate or certificates, or at the election of the Company make an appropriate book entry, for the number of Shares equal to the number of the Employee’s PSUs that vest and are payable as specified in Section 2. An Employee shall have no further rights with regard to PSUs once the underlying Shares has been so delivered.</w:t>
      </w:r>
    </w:p>
    <w:p>
      <w:pPr>
        <w:spacing w:after="0" w:line="223"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Employee Shareholder Rights.</w:t>
      </w:r>
    </w:p>
    <w:p>
      <w:pPr>
        <w:spacing w:after="0" w:line="266"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Neither the Employee nor any person claiming through the Employee, will have any of the rights or privileges of a shareholder of Haemonetics with respect to the PSUs unless and until Shares have been issued, recorded on the records of the Company or its transfer agent, and delivered to the Employee. No dividend equivalents shall be paid on PSUs with respect to any cash dividends declared during any periods of time prior delivery of the Shares.</w:t>
      </w:r>
    </w:p>
    <w:p>
      <w:pPr>
        <w:spacing w:after="0" w:line="22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Adjustments or Changes in Capitalization.</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Adjustments as a result of an event referenced in Section 4.5 of the Plan (including a change in corporate capitalization or a corporate transaction) shall be made under Section 4.5 of the Plan in a manner consistent with meeting the performance goal requirements under Section 162(m) of the Code.</w:t>
      </w:r>
    </w:p>
    <w:p>
      <w:pPr>
        <w:spacing w:after="0" w:line="22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Disability or Death of Employee.</w:t>
      </w:r>
    </w:p>
    <w:p>
      <w:pPr>
        <w:spacing w:after="0" w:line="226"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Any Shares delivered pursuant to Section 4 shall be delivered to the Employee if legally competent or to a legally designated guardian or representative if the Employee is legally incompetent. If the Employee is not then living, the Shares shall be delivered to the representative of the Employee’s estate.</w:t>
      </w:r>
    </w:p>
    <w:p>
      <w:pPr>
        <w:spacing w:after="0" w:line="220"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Taxes.</w:t>
      </w:r>
    </w:p>
    <w:p>
      <w:pPr>
        <w:spacing w:after="0" w:line="226"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The Company’s obligation to deliver any certificates evidencing the Shares provided upon settlement of the vested PSUs (or to make a book-entry or other electronic notation indicating ownership of such Shares) is subject to the condition precedent that the Employee either pay or provide for the amount of any such withholding obligations in such manner as may be authorized by the Committee or as may otherwise be permitted under Article 17 of the Plan. The Employee acknowledges and agrees that any income or other taxes due from the Employee with respect to the PSUs issued pursuant to this Agreement, including Social Security and Medicare taxes that may be owed on account of the vesting of the PSUs (unless the Company elects to withhold such payroll taxes at a later time in accordance with applicable law), and federal, state and local income taxes that may be owed on account of payment of the PSUs, shall be the Employee’s responsibility. By accepting this Grant, the Employee agrees and acknowledges that the Company promptly may withhold from the Employee’s compensation, including but not limited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25" w:right="239" w:bottom="1440" w:gutter="0" w:footer="0" w:header="0"/>
        </w:sectPr>
      </w:pPr>
    </w:p>
    <w:bookmarkStart w:id="107" w:name="page108"/>
    <w:bookmarkEnd w:id="107"/>
    <w:p>
      <w:pPr>
        <w:ind w:right="60"/>
        <w:spacing w:after="0" w:line="263" w:lineRule="auto"/>
        <w:rPr>
          <w:sz w:val="20"/>
          <w:szCs w:val="20"/>
          <w:color w:val="auto"/>
        </w:rPr>
      </w:pPr>
      <w:r>
        <w:rPr>
          <w:rFonts w:ascii="Arial" w:cs="Arial" w:eastAsia="Arial" w:hAnsi="Arial"/>
          <w:sz w:val="21"/>
          <w:szCs w:val="21"/>
          <w:color w:val="auto"/>
        </w:rPr>
        <w:t>to Shares delivered pursuant to Section 4, the amount of taxes the Company is required to withhold pursuant to this Agreement, unless the Employee shall satisfy such withholding obligation to the Company as provided in Article 17 of the Plan. The Employee acknowledges that the tax laws and regulations applicable to the PSUs and the disposition of the Shares provided upon settlement of the vested PSUs are complex and subject to change, and it is the Employee’s sole responsibility to obtain his or her own advice as to the tax treatment of the terms of this Agreement.</w:t>
      </w:r>
    </w:p>
    <w:p>
      <w:pPr>
        <w:spacing w:after="0" w:line="210"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It is intended that the rights to receive Shares granted under this Agreement and the provisions of this Agreement be exempt from or comply with Section 409A of the Code, and all provisions of this Agreement shall be construed and interpreted in a manner consistent with Section 19.10 of the Plan and the requirements for avoiding taxes or penalties under Section 409A of the Code. Notwithstanding the foregoing, in no event whatsoever shall the Company or its Subsidiaries be liable for any additional tax, interest, or penalties that may be imposed on the Employee as a result of Section 409A of the Code or any damages for failing to comply with Section 409A of the Code.</w:t>
      </w:r>
    </w:p>
    <w:p>
      <w:pPr>
        <w:spacing w:after="0" w:line="228"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Data Privacy Consent.</w:t>
      </w:r>
    </w:p>
    <w:p>
      <w:pPr>
        <w:spacing w:after="0" w:line="226" w:lineRule="exact"/>
        <w:rPr>
          <w:sz w:val="20"/>
          <w:szCs w:val="20"/>
          <w:color w:val="auto"/>
        </w:rPr>
      </w:pPr>
    </w:p>
    <w:p>
      <w:pPr>
        <w:ind w:right="40"/>
        <w:spacing w:after="0" w:line="285" w:lineRule="auto"/>
        <w:rPr>
          <w:sz w:val="20"/>
          <w:szCs w:val="20"/>
          <w:color w:val="auto"/>
        </w:rPr>
      </w:pPr>
      <w:r>
        <w:rPr>
          <w:rFonts w:ascii="Arial" w:cs="Arial" w:eastAsia="Arial" w:hAnsi="Arial"/>
          <w:sz w:val="19"/>
          <w:szCs w:val="19"/>
          <w:color w:val="auto"/>
        </w:rPr>
        <w:t>As a condition of the Grant, the Employee consents to the collection, use and transfer of the Employee’s personal data as described in this Section 10. The Employee understands that the Company and its Subsidiaries hold certain personal information about the Employee, including the Employee’s name, home address and telephone number, date of birth, social insurance (or security) number or identification number, salary, nationality, job title, any Shares or directorships held in the Company (or any of its Subsidiaries), details of all options or any other entitlement to Shares awarded, canceled, exercised, vested, unvested or outstanding in the Employee’s favor, for the purpose of implementing, managing and administering the Plan (“</w:t>
      </w:r>
      <w:r>
        <w:rPr>
          <w:rFonts w:ascii="Arial" w:cs="Arial" w:eastAsia="Arial" w:hAnsi="Arial"/>
          <w:sz w:val="19"/>
          <w:szCs w:val="19"/>
          <w:u w:val="single" w:color="auto"/>
          <w:color w:val="auto"/>
        </w:rPr>
        <w:t>Data</w:t>
      </w:r>
      <w:r>
        <w:rPr>
          <w:rFonts w:ascii="Arial" w:cs="Arial" w:eastAsia="Arial" w:hAnsi="Arial"/>
          <w:sz w:val="19"/>
          <w:szCs w:val="19"/>
          <w:color w:val="auto"/>
        </w:rPr>
        <w:t>”). The Employee further understands that the Company and/or a Subsidiary may transfer Data amongst themselves as necessary for the purpose of implementation, administration and management of the Employee’s participation in the Plan, and that the Company and/or a Subsidiary may each further transfer Data to any third parties assisting the Company in the implementation, administration and management of the Plan. The Employee understands that these recipients may be located in the European Economic Area, or elsewhere, such as the United States or Canada, and that the recipient’s country may have different data privacy laws and protections than the Employee’s country. The Employee authorizes them to receive, possess, use, retain and transfer the Data, in electronic or other form, for the purposes of implementing, administering and managing the Employee’s participation in the Plan, including any requisite transfer of such Data to a broker or other third party with whom the Employee may elect to deposit any Shares acquired pursuant to the Plan as may be required for the administration of the Plan and/or the subsequent holding of Shares on the Employee’s behalf.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it or refuse or withdraw the consents herein, in any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08" w:name="page109"/>
    <w:bookmarkEnd w:id="108"/>
    <w:p>
      <w:pPr>
        <w:spacing w:after="0" w:line="250" w:lineRule="auto"/>
        <w:rPr>
          <w:sz w:val="20"/>
          <w:szCs w:val="20"/>
          <w:color w:val="auto"/>
        </w:rPr>
      </w:pPr>
      <w:r>
        <w:rPr>
          <w:rFonts w:ascii="Arial" w:cs="Arial" w:eastAsia="Arial" w:hAnsi="Arial"/>
          <w:sz w:val="22"/>
          <w:szCs w:val="22"/>
          <w:color w:val="auto"/>
        </w:rPr>
        <w:t>case without cost, by contacting in writing the Employee’s local Human Resources representative. Refusal or withdrawal of consent may, however, affect the Employee’s ability to exercise or realize benefits from this award or the Plan. For more information on the consequences of the Employee’s refusal to consent or withdrawal of consent, the Employee understands that the Employee may contact the Employee’s local Human Resources representative.</w:t>
      </w:r>
    </w:p>
    <w:p>
      <w:pPr>
        <w:spacing w:after="0" w:line="223"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5" w:lineRule="exact"/>
        <w:rPr>
          <w:rFonts w:ascii="Arial" w:cs="Arial" w:eastAsia="Arial" w:hAnsi="Arial"/>
          <w:sz w:val="22"/>
          <w:szCs w:val="22"/>
          <w:b w:val="1"/>
          <w:bCs w:val="1"/>
          <w:color w:val="auto"/>
        </w:rPr>
      </w:pPr>
    </w:p>
    <w:p>
      <w:pPr>
        <w:ind w:right="680" w:firstLine="656"/>
        <w:spacing w:after="0" w:line="343" w:lineRule="auto"/>
        <w:tabs>
          <w:tab w:leader="none" w:pos="942"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w:t>
      </w:r>
      <w:r>
        <w:rPr>
          <w:rFonts w:ascii="Arial" w:cs="Arial" w:eastAsia="Arial" w:hAnsi="Arial"/>
          <w:sz w:val="19"/>
          <w:szCs w:val="19"/>
          <w:color w:val="auto"/>
        </w:rPr>
        <w:t>. The provisions of the Plan are incorporated herein by reference. Except as otherwise expressly set forth herein, this Agreement shall be construed in accordance with the provisions of the Plan.</w:t>
      </w:r>
    </w:p>
    <w:p>
      <w:pPr>
        <w:spacing w:after="0" w:line="145" w:lineRule="exact"/>
        <w:rPr>
          <w:rFonts w:ascii="Arial" w:cs="Arial" w:eastAsia="Arial" w:hAnsi="Arial"/>
          <w:sz w:val="19"/>
          <w:szCs w:val="19"/>
          <w:color w:val="auto"/>
        </w:rPr>
      </w:pPr>
    </w:p>
    <w:p>
      <w:pPr>
        <w:ind w:right="180" w:firstLine="656"/>
        <w:spacing w:after="0" w:line="312" w:lineRule="auto"/>
        <w:tabs>
          <w:tab w:leader="none" w:pos="954"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xml:space="preserve"> The Company shall not be required (i) to transfer on its books any Shares that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174" w:lineRule="exact"/>
        <w:rPr>
          <w:sz w:val="20"/>
          <w:szCs w:val="20"/>
          <w:color w:val="auto"/>
        </w:rPr>
      </w:pPr>
    </w:p>
    <w:p>
      <w:pPr>
        <w:ind w:right="740" w:firstLine="656"/>
        <w:spacing w:after="0" w:line="263" w:lineRule="auto"/>
        <w:tabs>
          <w:tab w:leader="none" w:pos="95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Further Acts.</w:t>
      </w:r>
      <w:r>
        <w:rPr>
          <w:rFonts w:ascii="Arial" w:cs="Arial" w:eastAsia="Arial" w:hAnsi="Arial"/>
          <w:sz w:val="22"/>
          <w:szCs w:val="22"/>
          <w:color w:val="auto"/>
        </w:rPr>
        <w:t xml:space="preserve"> The parties agree to execute such further instruments and to take such action as may reasonably be necessary to carry out the intent of this Agreement.</w:t>
      </w:r>
    </w:p>
    <w:p>
      <w:pPr>
        <w:spacing w:after="0" w:line="215" w:lineRule="exact"/>
        <w:rPr>
          <w:rFonts w:ascii="Arial" w:cs="Arial" w:eastAsia="Arial" w:hAnsi="Arial"/>
          <w:sz w:val="22"/>
          <w:szCs w:val="22"/>
          <w:color w:val="auto"/>
        </w:rPr>
      </w:pPr>
    </w:p>
    <w:p>
      <w:pPr>
        <w:ind w:right="60" w:firstLine="656"/>
        <w:spacing w:after="0" w:line="263" w:lineRule="auto"/>
        <w:tabs>
          <w:tab w:leader="none" w:pos="94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Any notice required or permitted hereunder shall be given in writing and shall be deemed effectively given upon delivery to the Employee at her/his address then on file with the Company.</w:t>
      </w:r>
    </w:p>
    <w:p>
      <w:pPr>
        <w:spacing w:after="0" w:line="215" w:lineRule="exact"/>
        <w:rPr>
          <w:rFonts w:ascii="Arial" w:cs="Arial" w:eastAsia="Arial" w:hAnsi="Arial"/>
          <w:sz w:val="22"/>
          <w:szCs w:val="22"/>
          <w:color w:val="auto"/>
        </w:rPr>
      </w:pPr>
    </w:p>
    <w:p>
      <w:pPr>
        <w:ind w:right="300" w:firstLine="656"/>
        <w:spacing w:after="0" w:line="302" w:lineRule="auto"/>
        <w:tabs>
          <w:tab w:leader="none" w:pos="954"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No Guarantee of Employment.</w:t>
      </w:r>
      <w:r>
        <w:rPr>
          <w:rFonts w:ascii="Arial" w:cs="Arial" w:eastAsia="Arial" w:hAnsi="Arial"/>
          <w:sz w:val="19"/>
          <w:szCs w:val="19"/>
          <w:color w:val="auto"/>
        </w:rPr>
        <w:t xml:space="preserve"> Nothing contained in the Plan or this Agreement shall be construed or deemed by any person under any circumstances to bind the Company to grant the Employee any right to remain an Employee of the Company during the vesting period or otherwise or shall interfere with or restrict in any way the right of the Company and its Subsidiaries, which is hereby expressly reserved, to remove, terminate, or discharge Employee at any time for any reason whatsoever.</w:t>
      </w:r>
    </w:p>
    <w:p>
      <w:pPr>
        <w:spacing w:after="0" w:line="183" w:lineRule="exact"/>
        <w:rPr>
          <w:rFonts w:ascii="Arial" w:cs="Arial" w:eastAsia="Arial" w:hAnsi="Arial"/>
          <w:sz w:val="19"/>
          <w:szCs w:val="19"/>
          <w:color w:val="auto"/>
        </w:rPr>
      </w:pPr>
    </w:p>
    <w:p>
      <w:pPr>
        <w:ind w:right="100" w:firstLine="656"/>
        <w:spacing w:after="0" w:line="312" w:lineRule="auto"/>
        <w:tabs>
          <w:tab w:leader="none" w:pos="94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pacing w:after="0" w:line="174" w:lineRule="exact"/>
        <w:rPr>
          <w:rFonts w:ascii="Arial" w:cs="Arial" w:eastAsia="Arial" w:hAnsi="Arial"/>
          <w:sz w:val="19"/>
          <w:szCs w:val="19"/>
          <w:color w:val="auto"/>
        </w:rPr>
      </w:pPr>
    </w:p>
    <w:p>
      <w:pPr>
        <w:ind w:right="260" w:firstLine="656"/>
        <w:spacing w:after="0" w:line="287" w:lineRule="auto"/>
        <w:tabs>
          <w:tab w:leader="none" w:pos="918"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The terms of this Agreement shall be binding upon and inure to the benefit of the Company, its successors and assigns, and of the Employee and the Employee’s executors, administrators, heirs and successors.</w:t>
      </w:r>
    </w:p>
    <w:p>
      <w:pPr>
        <w:spacing w:after="0" w:line="192" w:lineRule="exact"/>
        <w:rPr>
          <w:rFonts w:ascii="Arial" w:cs="Arial" w:eastAsia="Arial" w:hAnsi="Arial"/>
          <w:sz w:val="21"/>
          <w:szCs w:val="21"/>
          <w:color w:val="auto"/>
        </w:rPr>
      </w:pPr>
    </w:p>
    <w:p>
      <w:pPr>
        <w:jc w:val="both"/>
        <w:ind w:firstLine="656"/>
        <w:spacing w:after="0" w:line="253" w:lineRule="auto"/>
        <w:tabs>
          <w:tab w:leader="none" w:pos="95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Commonwealth of Massachusetts and applicable federal law, without regard to applicable conflicts of laws thereof, or principles of conflicts of laws of any other jurisdiction that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109" w:name="page110"/>
    <w:bookmarkEnd w:id="109"/>
    <w:p>
      <w:pPr>
        <w:jc w:val="both"/>
        <w:spacing w:after="0" w:line="253" w:lineRule="auto"/>
        <w:rPr>
          <w:sz w:val="20"/>
          <w:szCs w:val="20"/>
          <w:color w:val="auto"/>
        </w:rPr>
      </w:pPr>
      <w:r>
        <w:rPr>
          <w:rFonts w:ascii="Arial" w:cs="Arial" w:eastAsia="Arial" w:hAnsi="Arial"/>
          <w:sz w:val="22"/>
          <w:szCs w:val="22"/>
          <w:color w:val="auto"/>
        </w:rPr>
        <w:t>could cause the application of the laws of any jurisdiction other than the Commonwealth of Massachusetts. The parties agree that all disputes with respect to this agreement shall be resolved through courts of competent jurisdiction located in the Commonwealth of Massachusetts.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21"/>
          <w:szCs w:val="21"/>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By signing this Agreement, Employee acknowledges that he or she has received a copy of the Plan and has had an opportunity to review the Plan and agrees to be bound by all the terms and provisions of the Plan and this Agreement.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[Employee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160"/>
          </w:cols>
          <w:pgMar w:left="240" w:top="375" w:right="49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F2F2F2"/>
        </w:rPr>
        <w:t>Exhibit 21.1</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Exhibit 21.1 - Subsidiaries of the Company</w:t>
      </w:r>
    </w:p>
    <w:p>
      <w:pPr>
        <w:spacing w:after="0" w:line="34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580" w:type="dxa"/>
            <w:vAlign w:val="bottom"/>
            <w:shd w:val="clear" w:color="auto" w:fill="666699"/>
          </w:tcPr>
          <w:p>
            <w:pPr>
              <w:ind w:left="40"/>
              <w:spacing w:after="0"/>
              <w:rPr>
                <w:sz w:val="20"/>
                <w:szCs w:val="20"/>
                <w:color w:val="auto"/>
              </w:rPr>
            </w:pPr>
            <w:r>
              <w:rPr>
                <w:rFonts w:ascii="Arial" w:cs="Arial" w:eastAsia="Arial" w:hAnsi="Arial"/>
                <w:sz w:val="15"/>
                <w:szCs w:val="15"/>
                <w:b w:val="1"/>
                <w:bCs w:val="1"/>
                <w:color w:val="FFFFFF"/>
              </w:rPr>
              <w:t>Entity Name</w:t>
            </w:r>
          </w:p>
        </w:tc>
        <w:tc>
          <w:tcPr>
            <w:tcW w:w="5120" w:type="dxa"/>
            <w:vAlign w:val="bottom"/>
            <w:shd w:val="clear" w:color="auto" w:fill="666699"/>
          </w:tcPr>
          <w:p>
            <w:pPr>
              <w:ind w:left="1840"/>
              <w:spacing w:after="0"/>
              <w:rPr>
                <w:sz w:val="20"/>
                <w:szCs w:val="20"/>
                <w:color w:val="auto"/>
              </w:rPr>
            </w:pPr>
            <w:r>
              <w:rPr>
                <w:rFonts w:ascii="Arial" w:cs="Arial" w:eastAsia="Arial" w:hAnsi="Arial"/>
                <w:sz w:val="15"/>
                <w:szCs w:val="15"/>
                <w:b w:val="1"/>
                <w:bCs w:val="1"/>
                <w:color w:val="FFFFFF"/>
              </w:rPr>
              <w:t>Jurisdiction of Incorporation</w:t>
            </w:r>
          </w:p>
        </w:tc>
      </w:tr>
      <w:tr>
        <w:trPr>
          <w:trHeight w:val="208"/>
        </w:trPr>
        <w:tc>
          <w:tcPr>
            <w:tcW w:w="5580" w:type="dxa"/>
            <w:vAlign w:val="bottom"/>
          </w:tcPr>
          <w:p>
            <w:pPr>
              <w:ind w:left="40"/>
              <w:spacing w:after="0"/>
              <w:rPr>
                <w:sz w:val="20"/>
                <w:szCs w:val="20"/>
                <w:color w:val="auto"/>
              </w:rPr>
            </w:pPr>
            <w:r>
              <w:rPr>
                <w:rFonts w:ascii="Arial" w:cs="Arial" w:eastAsia="Arial" w:hAnsi="Arial"/>
                <w:sz w:val="15"/>
                <w:szCs w:val="15"/>
                <w:color w:val="auto"/>
              </w:rPr>
              <w:t>5D Information Management, Inc.</w:t>
            </w:r>
          </w:p>
        </w:tc>
        <w:tc>
          <w:tcPr>
            <w:tcW w:w="5120" w:type="dxa"/>
            <w:vAlign w:val="bottom"/>
          </w:tcPr>
          <w:p>
            <w:pPr>
              <w:ind w:left="1840"/>
              <w:spacing w:after="0"/>
              <w:rPr>
                <w:sz w:val="20"/>
                <w:szCs w:val="20"/>
                <w:color w:val="auto"/>
              </w:rPr>
            </w:pPr>
            <w:r>
              <w:rPr>
                <w:rFonts w:ascii="Arial" w:cs="Arial" w:eastAsia="Arial" w:hAnsi="Arial"/>
                <w:sz w:val="15"/>
                <w:szCs w:val="15"/>
                <w:color w:val="auto"/>
              </w:rPr>
              <w:t>Delaware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Arryx, Inc.</w:t>
            </w:r>
          </w:p>
        </w:tc>
        <w:tc>
          <w:tcPr>
            <w:tcW w:w="5120" w:type="dxa"/>
            <w:vAlign w:val="bottom"/>
          </w:tcPr>
          <w:p>
            <w:pPr>
              <w:ind w:left="1840"/>
              <w:spacing w:after="0"/>
              <w:rPr>
                <w:sz w:val="20"/>
                <w:szCs w:val="20"/>
                <w:color w:val="auto"/>
              </w:rPr>
            </w:pPr>
            <w:r>
              <w:rPr>
                <w:rFonts w:ascii="Arial" w:cs="Arial" w:eastAsia="Arial" w:hAnsi="Arial"/>
                <w:sz w:val="15"/>
                <w:szCs w:val="15"/>
                <w:color w:val="auto"/>
              </w:rPr>
              <w:t>Nevada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Global Med Technologies, Inc.</w:t>
            </w:r>
          </w:p>
        </w:tc>
        <w:tc>
          <w:tcPr>
            <w:tcW w:w="5120" w:type="dxa"/>
            <w:vAlign w:val="bottom"/>
          </w:tcPr>
          <w:p>
            <w:pPr>
              <w:ind w:left="1840"/>
              <w:spacing w:after="0"/>
              <w:rPr>
                <w:sz w:val="20"/>
                <w:szCs w:val="20"/>
                <w:color w:val="auto"/>
              </w:rPr>
            </w:pPr>
            <w:r>
              <w:rPr>
                <w:rFonts w:ascii="Arial" w:cs="Arial" w:eastAsia="Arial" w:hAnsi="Arial"/>
                <w:sz w:val="15"/>
                <w:szCs w:val="15"/>
                <w:color w:val="auto"/>
              </w:rPr>
              <w:t>Colorado</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(Hong Kong) Limited</w:t>
            </w:r>
          </w:p>
        </w:tc>
        <w:tc>
          <w:tcPr>
            <w:tcW w:w="5120" w:type="dxa"/>
            <w:vAlign w:val="bottom"/>
          </w:tcPr>
          <w:p>
            <w:pPr>
              <w:ind w:left="1840"/>
              <w:spacing w:after="0"/>
              <w:rPr>
                <w:sz w:val="20"/>
                <w:szCs w:val="20"/>
                <w:color w:val="auto"/>
              </w:rPr>
            </w:pPr>
            <w:r>
              <w:rPr>
                <w:rFonts w:ascii="Arial" w:cs="Arial" w:eastAsia="Arial" w:hAnsi="Arial"/>
                <w:sz w:val="15"/>
                <w:szCs w:val="15"/>
                <w:color w:val="auto"/>
              </w:rPr>
              <w:t>Hong Kong</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(UK) Limited</w:t>
            </w:r>
          </w:p>
        </w:tc>
        <w:tc>
          <w:tcPr>
            <w:tcW w:w="5120" w:type="dxa"/>
            <w:vAlign w:val="bottom"/>
          </w:tcPr>
          <w:p>
            <w:pPr>
              <w:ind w:left="1840"/>
              <w:spacing w:after="0"/>
              <w:rPr>
                <w:sz w:val="20"/>
                <w:szCs w:val="20"/>
                <w:color w:val="auto"/>
              </w:rPr>
            </w:pPr>
            <w:r>
              <w:rPr>
                <w:rFonts w:ascii="Arial" w:cs="Arial" w:eastAsia="Arial" w:hAnsi="Arial"/>
                <w:sz w:val="15"/>
                <w:szCs w:val="15"/>
                <w:color w:val="auto"/>
              </w:rPr>
              <w:t>United Kingdom</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Asia Incorporated</w:t>
            </w:r>
          </w:p>
        </w:tc>
        <w:tc>
          <w:tcPr>
            <w:tcW w:w="5120" w:type="dxa"/>
            <w:vAlign w:val="bottom"/>
          </w:tcPr>
          <w:p>
            <w:pPr>
              <w:ind w:left="1840"/>
              <w:spacing w:after="0"/>
              <w:rPr>
                <w:sz w:val="20"/>
                <w:szCs w:val="20"/>
                <w:color w:val="auto"/>
              </w:rPr>
            </w:pPr>
            <w:r>
              <w:rPr>
                <w:rFonts w:ascii="Arial" w:cs="Arial" w:eastAsia="Arial" w:hAnsi="Arial"/>
                <w:sz w:val="15"/>
                <w:szCs w:val="15"/>
                <w:color w:val="auto"/>
              </w:rPr>
              <w:t>Delaware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Asia UK Ltd.</w:t>
            </w:r>
          </w:p>
        </w:tc>
        <w:tc>
          <w:tcPr>
            <w:tcW w:w="5120" w:type="dxa"/>
            <w:vAlign w:val="bottom"/>
          </w:tcPr>
          <w:p>
            <w:pPr>
              <w:ind w:left="1840"/>
              <w:spacing w:after="0"/>
              <w:rPr>
                <w:sz w:val="20"/>
                <w:szCs w:val="20"/>
                <w:color w:val="auto"/>
              </w:rPr>
            </w:pPr>
            <w:r>
              <w:rPr>
                <w:rFonts w:ascii="Arial" w:cs="Arial" w:eastAsia="Arial" w:hAnsi="Arial"/>
                <w:sz w:val="15"/>
                <w:szCs w:val="15"/>
                <w:color w:val="auto"/>
              </w:rPr>
              <w:t>United Kingdom</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Australia PTY Ltd.</w:t>
            </w:r>
          </w:p>
        </w:tc>
        <w:tc>
          <w:tcPr>
            <w:tcW w:w="5120" w:type="dxa"/>
            <w:vAlign w:val="bottom"/>
          </w:tcPr>
          <w:p>
            <w:pPr>
              <w:ind w:left="1840"/>
              <w:spacing w:after="0"/>
              <w:rPr>
                <w:sz w:val="20"/>
                <w:szCs w:val="20"/>
                <w:color w:val="auto"/>
              </w:rPr>
            </w:pPr>
            <w:r>
              <w:rPr>
                <w:rFonts w:ascii="Arial" w:cs="Arial" w:eastAsia="Arial" w:hAnsi="Arial"/>
                <w:sz w:val="15"/>
                <w:szCs w:val="15"/>
                <w:color w:val="auto"/>
              </w:rPr>
              <w:t>Victoria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Belgium NV</w:t>
            </w:r>
          </w:p>
        </w:tc>
        <w:tc>
          <w:tcPr>
            <w:tcW w:w="5120" w:type="dxa"/>
            <w:vAlign w:val="bottom"/>
          </w:tcPr>
          <w:p>
            <w:pPr>
              <w:ind w:left="1840"/>
              <w:spacing w:after="0"/>
              <w:rPr>
                <w:sz w:val="20"/>
                <w:szCs w:val="20"/>
                <w:color w:val="auto"/>
              </w:rPr>
            </w:pPr>
            <w:r>
              <w:rPr>
                <w:rFonts w:ascii="Arial" w:cs="Arial" w:eastAsia="Arial" w:hAnsi="Arial"/>
                <w:sz w:val="15"/>
                <w:szCs w:val="15"/>
                <w:color w:val="auto"/>
              </w:rPr>
              <w:t>Belgium</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BV</w:t>
            </w:r>
          </w:p>
        </w:tc>
        <w:tc>
          <w:tcPr>
            <w:tcW w:w="5120" w:type="dxa"/>
            <w:vAlign w:val="bottom"/>
          </w:tcPr>
          <w:p>
            <w:pPr>
              <w:ind w:left="1840"/>
              <w:spacing w:after="0"/>
              <w:rPr>
                <w:sz w:val="20"/>
                <w:szCs w:val="20"/>
                <w:color w:val="auto"/>
              </w:rPr>
            </w:pPr>
            <w:r>
              <w:rPr>
                <w:rFonts w:ascii="Arial" w:cs="Arial" w:eastAsia="Arial" w:hAnsi="Arial"/>
                <w:sz w:val="15"/>
                <w:szCs w:val="15"/>
                <w:color w:val="auto"/>
              </w:rPr>
              <w:t>Netherlands</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Canada Ltd.</w:t>
            </w:r>
          </w:p>
        </w:tc>
        <w:tc>
          <w:tcPr>
            <w:tcW w:w="5120" w:type="dxa"/>
            <w:vAlign w:val="bottom"/>
          </w:tcPr>
          <w:p>
            <w:pPr>
              <w:ind w:left="1840"/>
              <w:spacing w:after="0"/>
              <w:rPr>
                <w:sz w:val="20"/>
                <w:szCs w:val="20"/>
                <w:color w:val="auto"/>
              </w:rPr>
            </w:pPr>
            <w:r>
              <w:rPr>
                <w:rFonts w:ascii="Arial" w:cs="Arial" w:eastAsia="Arial" w:hAnsi="Arial"/>
                <w:sz w:val="15"/>
                <w:szCs w:val="15"/>
                <w:color w:val="auto"/>
              </w:rPr>
              <w:t>British Columbia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CZ, spol. s.r.o.</w:t>
            </w:r>
          </w:p>
        </w:tc>
        <w:tc>
          <w:tcPr>
            <w:tcW w:w="5120" w:type="dxa"/>
            <w:vAlign w:val="bottom"/>
          </w:tcPr>
          <w:p>
            <w:pPr>
              <w:ind w:left="1840"/>
              <w:spacing w:after="0"/>
              <w:rPr>
                <w:sz w:val="20"/>
                <w:szCs w:val="20"/>
                <w:color w:val="auto"/>
              </w:rPr>
            </w:pPr>
            <w:r>
              <w:rPr>
                <w:rFonts w:ascii="Arial" w:cs="Arial" w:eastAsia="Arial" w:hAnsi="Arial"/>
                <w:sz w:val="15"/>
                <w:szCs w:val="15"/>
                <w:color w:val="auto"/>
              </w:rPr>
              <w:t>Czech Republic</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France S.a.r.l</w:t>
            </w:r>
          </w:p>
        </w:tc>
        <w:tc>
          <w:tcPr>
            <w:tcW w:w="5120" w:type="dxa"/>
            <w:vAlign w:val="bottom"/>
          </w:tcPr>
          <w:p>
            <w:pPr>
              <w:ind w:left="1840"/>
              <w:spacing w:after="0"/>
              <w:rPr>
                <w:sz w:val="20"/>
                <w:szCs w:val="20"/>
                <w:color w:val="auto"/>
              </w:rPr>
            </w:pPr>
            <w:r>
              <w:rPr>
                <w:rFonts w:ascii="Arial" w:cs="Arial" w:eastAsia="Arial" w:hAnsi="Arial"/>
                <w:sz w:val="15"/>
                <w:szCs w:val="15"/>
                <w:color w:val="auto"/>
              </w:rPr>
              <w:t>France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GmbH</w:t>
            </w:r>
          </w:p>
        </w:tc>
        <w:tc>
          <w:tcPr>
            <w:tcW w:w="5120" w:type="dxa"/>
            <w:vAlign w:val="bottom"/>
          </w:tcPr>
          <w:p>
            <w:pPr>
              <w:ind w:left="1840"/>
              <w:spacing w:after="0"/>
              <w:rPr>
                <w:sz w:val="20"/>
                <w:szCs w:val="20"/>
                <w:color w:val="auto"/>
              </w:rPr>
            </w:pPr>
            <w:r>
              <w:rPr>
                <w:rFonts w:ascii="Arial" w:cs="Arial" w:eastAsia="Arial" w:hAnsi="Arial"/>
                <w:sz w:val="15"/>
                <w:szCs w:val="15"/>
                <w:color w:val="auto"/>
              </w:rPr>
              <w:t>Germany</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Handelsgesellschaft m.b.H.</w:t>
            </w:r>
          </w:p>
        </w:tc>
        <w:tc>
          <w:tcPr>
            <w:tcW w:w="5120" w:type="dxa"/>
            <w:vAlign w:val="bottom"/>
          </w:tcPr>
          <w:p>
            <w:pPr>
              <w:ind w:left="1840"/>
              <w:spacing w:after="0"/>
              <w:rPr>
                <w:sz w:val="20"/>
                <w:szCs w:val="20"/>
                <w:color w:val="auto"/>
              </w:rPr>
            </w:pPr>
            <w:r>
              <w:rPr>
                <w:rFonts w:ascii="Arial" w:cs="Arial" w:eastAsia="Arial" w:hAnsi="Arial"/>
                <w:sz w:val="15"/>
                <w:szCs w:val="15"/>
                <w:color w:val="auto"/>
              </w:rPr>
              <w:t>Austria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Healthcare India Private Limited</w:t>
            </w:r>
          </w:p>
        </w:tc>
        <w:tc>
          <w:tcPr>
            <w:tcW w:w="5120" w:type="dxa"/>
            <w:vAlign w:val="bottom"/>
          </w:tcPr>
          <w:p>
            <w:pPr>
              <w:ind w:left="1840"/>
              <w:spacing w:after="0"/>
              <w:rPr>
                <w:sz w:val="20"/>
                <w:szCs w:val="20"/>
                <w:color w:val="auto"/>
              </w:rPr>
            </w:pPr>
            <w:r>
              <w:rPr>
                <w:rFonts w:ascii="Arial" w:cs="Arial" w:eastAsia="Arial" w:hAnsi="Arial"/>
                <w:sz w:val="15"/>
                <w:szCs w:val="15"/>
                <w:color w:val="auto"/>
              </w:rPr>
              <w:t>India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 xml:space="preserve">Haemonetics Hospitalar </w:t>
            </w:r>
            <w:r>
              <w:rPr>
                <w:rFonts w:ascii="Arial" w:cs="Arial" w:eastAsia="Arial" w:hAnsi="Arial"/>
                <w:sz w:val="14"/>
                <w:szCs w:val="14"/>
                <w:color w:val="auto"/>
              </w:rPr>
              <w:t>EIRELI</w:t>
            </w:r>
          </w:p>
        </w:tc>
        <w:tc>
          <w:tcPr>
            <w:tcW w:w="5120" w:type="dxa"/>
            <w:vAlign w:val="bottom"/>
          </w:tcPr>
          <w:p>
            <w:pPr>
              <w:ind w:left="1840"/>
              <w:spacing w:after="0"/>
              <w:rPr>
                <w:sz w:val="20"/>
                <w:szCs w:val="20"/>
                <w:color w:val="auto"/>
              </w:rPr>
            </w:pPr>
            <w:r>
              <w:rPr>
                <w:rFonts w:ascii="Arial" w:cs="Arial" w:eastAsia="Arial" w:hAnsi="Arial"/>
                <w:sz w:val="15"/>
                <w:szCs w:val="15"/>
                <w:color w:val="auto"/>
              </w:rPr>
              <w:t>Brazil</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International Finance S.a.r.l.</w:t>
            </w:r>
          </w:p>
        </w:tc>
        <w:tc>
          <w:tcPr>
            <w:tcW w:w="5120" w:type="dxa"/>
            <w:vAlign w:val="bottom"/>
          </w:tcPr>
          <w:p>
            <w:pPr>
              <w:ind w:left="1840"/>
              <w:spacing w:after="0"/>
              <w:rPr>
                <w:sz w:val="20"/>
                <w:szCs w:val="20"/>
                <w:color w:val="auto"/>
              </w:rPr>
            </w:pPr>
            <w:r>
              <w:rPr>
                <w:rFonts w:ascii="Arial" w:cs="Arial" w:eastAsia="Arial" w:hAnsi="Arial"/>
                <w:sz w:val="15"/>
                <w:szCs w:val="15"/>
                <w:color w:val="auto"/>
              </w:rPr>
              <w:t>Luxembourg</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International Holdings GmbH</w:t>
            </w:r>
          </w:p>
        </w:tc>
        <w:tc>
          <w:tcPr>
            <w:tcW w:w="5120" w:type="dxa"/>
            <w:vAlign w:val="bottom"/>
          </w:tcPr>
          <w:p>
            <w:pPr>
              <w:ind w:left="1840"/>
              <w:spacing w:after="0"/>
              <w:rPr>
                <w:sz w:val="20"/>
                <w:szCs w:val="20"/>
                <w:color w:val="auto"/>
              </w:rPr>
            </w:pPr>
            <w:r>
              <w:rPr>
                <w:rFonts w:ascii="Arial" w:cs="Arial" w:eastAsia="Arial" w:hAnsi="Arial"/>
                <w:sz w:val="15"/>
                <w:szCs w:val="15"/>
                <w:color w:val="auto"/>
              </w:rPr>
              <w:t>Switzerland</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IP HC Sarl</w:t>
            </w:r>
          </w:p>
        </w:tc>
        <w:tc>
          <w:tcPr>
            <w:tcW w:w="5120" w:type="dxa"/>
            <w:vAlign w:val="bottom"/>
          </w:tcPr>
          <w:p>
            <w:pPr>
              <w:ind w:left="1840"/>
              <w:spacing w:after="0"/>
              <w:rPr>
                <w:sz w:val="20"/>
                <w:szCs w:val="20"/>
                <w:color w:val="auto"/>
              </w:rPr>
            </w:pPr>
            <w:r>
              <w:rPr>
                <w:rFonts w:ascii="Arial" w:cs="Arial" w:eastAsia="Arial" w:hAnsi="Arial"/>
                <w:sz w:val="15"/>
                <w:szCs w:val="15"/>
                <w:color w:val="auto"/>
              </w:rPr>
              <w:t>Switzerland</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Italia s.r.l.</w:t>
            </w:r>
          </w:p>
        </w:tc>
        <w:tc>
          <w:tcPr>
            <w:tcW w:w="5120" w:type="dxa"/>
            <w:vAlign w:val="bottom"/>
          </w:tcPr>
          <w:p>
            <w:pPr>
              <w:ind w:left="1840"/>
              <w:spacing w:after="0"/>
              <w:rPr>
                <w:sz w:val="20"/>
                <w:szCs w:val="20"/>
                <w:color w:val="auto"/>
              </w:rPr>
            </w:pPr>
            <w:r>
              <w:rPr>
                <w:rFonts w:ascii="Arial" w:cs="Arial" w:eastAsia="Arial" w:hAnsi="Arial"/>
                <w:sz w:val="15"/>
                <w:szCs w:val="15"/>
                <w:color w:val="auto"/>
              </w:rPr>
              <w:t>Italy</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Japan GK</w:t>
            </w:r>
          </w:p>
        </w:tc>
        <w:tc>
          <w:tcPr>
            <w:tcW w:w="5120" w:type="dxa"/>
            <w:vAlign w:val="bottom"/>
          </w:tcPr>
          <w:p>
            <w:pPr>
              <w:ind w:left="1840"/>
              <w:spacing w:after="0"/>
              <w:rPr>
                <w:sz w:val="20"/>
                <w:szCs w:val="20"/>
                <w:color w:val="auto"/>
              </w:rPr>
            </w:pPr>
            <w:r>
              <w:rPr>
                <w:rFonts w:ascii="Arial" w:cs="Arial" w:eastAsia="Arial" w:hAnsi="Arial"/>
                <w:sz w:val="15"/>
                <w:szCs w:val="15"/>
                <w:color w:val="auto"/>
              </w:rPr>
              <w:t>Japan</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Korea, Inc.</w:t>
            </w:r>
          </w:p>
        </w:tc>
        <w:tc>
          <w:tcPr>
            <w:tcW w:w="5120" w:type="dxa"/>
            <w:vAlign w:val="bottom"/>
          </w:tcPr>
          <w:p>
            <w:pPr>
              <w:ind w:left="1840"/>
              <w:spacing w:after="0"/>
              <w:rPr>
                <w:sz w:val="20"/>
                <w:szCs w:val="20"/>
                <w:color w:val="auto"/>
              </w:rPr>
            </w:pPr>
            <w:r>
              <w:rPr>
                <w:rFonts w:ascii="Arial" w:cs="Arial" w:eastAsia="Arial" w:hAnsi="Arial"/>
                <w:sz w:val="15"/>
                <w:szCs w:val="15"/>
                <w:color w:val="auto"/>
              </w:rPr>
              <w:t>Seoul, Korea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Limited</w:t>
            </w:r>
          </w:p>
        </w:tc>
        <w:tc>
          <w:tcPr>
            <w:tcW w:w="5120" w:type="dxa"/>
            <w:vAlign w:val="bottom"/>
          </w:tcPr>
          <w:p>
            <w:pPr>
              <w:ind w:left="1840"/>
              <w:spacing w:after="0"/>
              <w:rPr>
                <w:sz w:val="20"/>
                <w:szCs w:val="20"/>
                <w:color w:val="auto"/>
              </w:rPr>
            </w:pPr>
            <w:r>
              <w:rPr>
                <w:rFonts w:ascii="Arial" w:cs="Arial" w:eastAsia="Arial" w:hAnsi="Arial"/>
                <w:sz w:val="15"/>
                <w:szCs w:val="15"/>
                <w:color w:val="auto"/>
              </w:rPr>
              <w:t>United Kingdom</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Malaysia Sdn. Bhd.</w:t>
            </w:r>
          </w:p>
        </w:tc>
        <w:tc>
          <w:tcPr>
            <w:tcW w:w="5120" w:type="dxa"/>
            <w:vAlign w:val="bottom"/>
          </w:tcPr>
          <w:p>
            <w:pPr>
              <w:ind w:left="1840"/>
              <w:spacing w:after="0"/>
              <w:rPr>
                <w:sz w:val="20"/>
                <w:szCs w:val="20"/>
                <w:color w:val="auto"/>
              </w:rPr>
            </w:pPr>
            <w:r>
              <w:rPr>
                <w:rFonts w:ascii="Arial" w:cs="Arial" w:eastAsia="Arial" w:hAnsi="Arial"/>
                <w:sz w:val="15"/>
                <w:szCs w:val="15"/>
                <w:color w:val="auto"/>
              </w:rPr>
              <w:t>Malaysia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Manufacturing, Inc.</w:t>
            </w:r>
          </w:p>
        </w:tc>
        <w:tc>
          <w:tcPr>
            <w:tcW w:w="5120" w:type="dxa"/>
            <w:vAlign w:val="bottom"/>
          </w:tcPr>
          <w:p>
            <w:pPr>
              <w:ind w:left="1840"/>
              <w:spacing w:after="0"/>
              <w:rPr>
                <w:sz w:val="20"/>
                <w:szCs w:val="20"/>
                <w:color w:val="auto"/>
              </w:rPr>
            </w:pPr>
            <w:r>
              <w:rPr>
                <w:rFonts w:ascii="Arial" w:cs="Arial" w:eastAsia="Arial" w:hAnsi="Arial"/>
                <w:sz w:val="15"/>
                <w:szCs w:val="15"/>
                <w:color w:val="auto"/>
              </w:rPr>
              <w:t>Delaware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(Shanghai) Management Co. Ltd.</w:t>
            </w:r>
          </w:p>
        </w:tc>
        <w:tc>
          <w:tcPr>
            <w:tcW w:w="5120" w:type="dxa"/>
            <w:vAlign w:val="bottom"/>
          </w:tcPr>
          <w:p>
            <w:pPr>
              <w:ind w:left="1840"/>
              <w:spacing w:after="0"/>
              <w:rPr>
                <w:sz w:val="20"/>
                <w:szCs w:val="20"/>
                <w:color w:val="auto"/>
              </w:rPr>
            </w:pPr>
            <w:r>
              <w:rPr>
                <w:rFonts w:ascii="Arial" w:cs="Arial" w:eastAsia="Arial" w:hAnsi="Arial"/>
                <w:sz w:val="15"/>
                <w:szCs w:val="15"/>
                <w:color w:val="auto"/>
              </w:rPr>
              <w:t>Shanghai,China</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Mexico Manufacturing, S.de R.L. de C.V.</w:t>
            </w:r>
          </w:p>
        </w:tc>
        <w:tc>
          <w:tcPr>
            <w:tcW w:w="5120" w:type="dxa"/>
            <w:vAlign w:val="bottom"/>
          </w:tcPr>
          <w:p>
            <w:pPr>
              <w:ind w:left="1840"/>
              <w:spacing w:after="0"/>
              <w:rPr>
                <w:sz w:val="20"/>
                <w:szCs w:val="20"/>
                <w:color w:val="auto"/>
              </w:rPr>
            </w:pPr>
            <w:r>
              <w:rPr>
                <w:rFonts w:ascii="Arial" w:cs="Arial" w:eastAsia="Arial" w:hAnsi="Arial"/>
                <w:sz w:val="15"/>
                <w:szCs w:val="15"/>
                <w:color w:val="auto"/>
              </w:rPr>
              <w:t>Mexico</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New Zealand Limited</w:t>
            </w:r>
          </w:p>
        </w:tc>
        <w:tc>
          <w:tcPr>
            <w:tcW w:w="5120" w:type="dxa"/>
            <w:vAlign w:val="bottom"/>
          </w:tcPr>
          <w:p>
            <w:pPr>
              <w:ind w:left="1840"/>
              <w:spacing w:after="0"/>
              <w:rPr>
                <w:sz w:val="20"/>
                <w:szCs w:val="20"/>
                <w:color w:val="auto"/>
              </w:rPr>
            </w:pPr>
            <w:r>
              <w:rPr>
                <w:rFonts w:ascii="Arial" w:cs="Arial" w:eastAsia="Arial" w:hAnsi="Arial"/>
                <w:sz w:val="15"/>
                <w:szCs w:val="15"/>
                <w:color w:val="auto"/>
              </w:rPr>
              <w:t>New Zealand</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Produzione Italia S.r.l.</w:t>
            </w:r>
          </w:p>
        </w:tc>
        <w:tc>
          <w:tcPr>
            <w:tcW w:w="5120" w:type="dxa"/>
            <w:vAlign w:val="bottom"/>
          </w:tcPr>
          <w:p>
            <w:pPr>
              <w:ind w:left="1840"/>
              <w:spacing w:after="0"/>
              <w:rPr>
                <w:sz w:val="20"/>
                <w:szCs w:val="20"/>
                <w:color w:val="auto"/>
              </w:rPr>
            </w:pPr>
            <w:r>
              <w:rPr>
                <w:rFonts w:ascii="Arial" w:cs="Arial" w:eastAsia="Arial" w:hAnsi="Arial"/>
                <w:sz w:val="15"/>
                <w:szCs w:val="15"/>
                <w:color w:val="auto"/>
              </w:rPr>
              <w:t>Italy</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Puerto Rico LLC</w:t>
            </w:r>
          </w:p>
        </w:tc>
        <w:tc>
          <w:tcPr>
            <w:tcW w:w="5120" w:type="dxa"/>
            <w:vAlign w:val="bottom"/>
          </w:tcPr>
          <w:p>
            <w:pPr>
              <w:ind w:left="1840"/>
              <w:spacing w:after="0"/>
              <w:rPr>
                <w:sz w:val="20"/>
                <w:szCs w:val="20"/>
                <w:color w:val="auto"/>
              </w:rPr>
            </w:pPr>
            <w:r>
              <w:rPr>
                <w:rFonts w:ascii="Arial" w:cs="Arial" w:eastAsia="Arial" w:hAnsi="Arial"/>
                <w:sz w:val="15"/>
                <w:szCs w:val="15"/>
                <w:color w:val="auto"/>
              </w:rPr>
              <w:t>Puerto Rico</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S.A.</w:t>
            </w:r>
          </w:p>
        </w:tc>
        <w:tc>
          <w:tcPr>
            <w:tcW w:w="5120" w:type="dxa"/>
            <w:vAlign w:val="bottom"/>
          </w:tcPr>
          <w:p>
            <w:pPr>
              <w:ind w:left="1840"/>
              <w:spacing w:after="0"/>
              <w:rPr>
                <w:sz w:val="20"/>
                <w:szCs w:val="20"/>
                <w:color w:val="auto"/>
              </w:rPr>
            </w:pPr>
            <w:r>
              <w:rPr>
                <w:rFonts w:ascii="Arial" w:cs="Arial" w:eastAsia="Arial" w:hAnsi="Arial"/>
                <w:sz w:val="15"/>
                <w:szCs w:val="15"/>
                <w:color w:val="auto"/>
              </w:rPr>
              <w:t>Switzerland</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Scandinavia AB</w:t>
            </w:r>
          </w:p>
        </w:tc>
        <w:tc>
          <w:tcPr>
            <w:tcW w:w="5120" w:type="dxa"/>
            <w:vAlign w:val="bottom"/>
          </w:tcPr>
          <w:p>
            <w:pPr>
              <w:ind w:left="1840"/>
              <w:spacing w:after="0"/>
              <w:rPr>
                <w:sz w:val="20"/>
                <w:szCs w:val="20"/>
                <w:color w:val="auto"/>
              </w:rPr>
            </w:pPr>
            <w:r>
              <w:rPr>
                <w:rFonts w:ascii="Arial" w:cs="Arial" w:eastAsia="Arial" w:hAnsi="Arial"/>
                <w:sz w:val="15"/>
                <w:szCs w:val="15"/>
                <w:color w:val="auto"/>
              </w:rPr>
              <w:t>Sweden</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Haemonetics Singapore Pte. Ltd.</w:t>
            </w:r>
          </w:p>
        </w:tc>
        <w:tc>
          <w:tcPr>
            <w:tcW w:w="5120" w:type="dxa"/>
            <w:vAlign w:val="bottom"/>
          </w:tcPr>
          <w:p>
            <w:pPr>
              <w:ind w:left="1840"/>
              <w:spacing w:after="0"/>
              <w:rPr>
                <w:sz w:val="20"/>
                <w:szCs w:val="20"/>
                <w:color w:val="auto"/>
              </w:rPr>
            </w:pPr>
            <w:r>
              <w:rPr>
                <w:rFonts w:ascii="Arial" w:cs="Arial" w:eastAsia="Arial" w:hAnsi="Arial"/>
                <w:sz w:val="15"/>
                <w:szCs w:val="15"/>
                <w:color w:val="auto"/>
              </w:rPr>
              <w:t>Singapore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Haemoscope Corporation</w:t>
            </w:r>
          </w:p>
        </w:tc>
        <w:tc>
          <w:tcPr>
            <w:tcW w:w="5120" w:type="dxa"/>
            <w:vAlign w:val="bottom"/>
          </w:tcPr>
          <w:p>
            <w:pPr>
              <w:ind w:left="1840"/>
              <w:spacing w:after="0"/>
              <w:rPr>
                <w:sz w:val="20"/>
                <w:szCs w:val="20"/>
                <w:color w:val="auto"/>
              </w:rPr>
            </w:pPr>
            <w:r>
              <w:rPr>
                <w:rFonts w:ascii="Arial" w:cs="Arial" w:eastAsia="Arial" w:hAnsi="Arial"/>
                <w:sz w:val="15"/>
                <w:szCs w:val="15"/>
                <w:color w:val="auto"/>
              </w:rPr>
              <w:t>Massachusetts</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Inlog SAS</w:t>
            </w:r>
          </w:p>
        </w:tc>
        <w:tc>
          <w:tcPr>
            <w:tcW w:w="5120" w:type="dxa"/>
            <w:vAlign w:val="bottom"/>
          </w:tcPr>
          <w:p>
            <w:pPr>
              <w:ind w:left="1840"/>
              <w:spacing w:after="0"/>
              <w:rPr>
                <w:sz w:val="20"/>
                <w:szCs w:val="20"/>
                <w:color w:val="auto"/>
              </w:rPr>
            </w:pPr>
            <w:r>
              <w:rPr>
                <w:rFonts w:ascii="Arial" w:cs="Arial" w:eastAsia="Arial" w:hAnsi="Arial"/>
                <w:sz w:val="15"/>
                <w:szCs w:val="15"/>
                <w:color w:val="auto"/>
              </w:rPr>
              <w:t>France</w:t>
            </w:r>
          </w:p>
        </w:tc>
      </w:tr>
      <w:tr>
        <w:trPr>
          <w:trHeight w:val="216"/>
        </w:trPr>
        <w:tc>
          <w:tcPr>
            <w:tcW w:w="5580" w:type="dxa"/>
            <w:vAlign w:val="bottom"/>
          </w:tcPr>
          <w:p>
            <w:pPr>
              <w:ind w:left="40"/>
              <w:spacing w:after="0"/>
              <w:rPr>
                <w:sz w:val="20"/>
                <w:szCs w:val="20"/>
                <w:color w:val="auto"/>
              </w:rPr>
            </w:pPr>
            <w:r>
              <w:rPr>
                <w:rFonts w:ascii="Arial" w:cs="Arial" w:eastAsia="Arial" w:hAnsi="Arial"/>
                <w:sz w:val="15"/>
                <w:szCs w:val="15"/>
                <w:color w:val="auto"/>
              </w:rPr>
              <w:t>Inlog Holdings France SAS</w:t>
            </w:r>
          </w:p>
        </w:tc>
        <w:tc>
          <w:tcPr>
            <w:tcW w:w="5120" w:type="dxa"/>
            <w:vAlign w:val="bottom"/>
          </w:tcPr>
          <w:p>
            <w:pPr>
              <w:ind w:left="1840"/>
              <w:spacing w:after="0"/>
              <w:rPr>
                <w:sz w:val="20"/>
                <w:szCs w:val="20"/>
                <w:color w:val="auto"/>
              </w:rPr>
            </w:pPr>
            <w:r>
              <w:rPr>
                <w:rFonts w:ascii="Arial" w:cs="Arial" w:eastAsia="Arial" w:hAnsi="Arial"/>
                <w:sz w:val="15"/>
                <w:szCs w:val="15"/>
                <w:color w:val="auto"/>
              </w:rPr>
              <w:t>France</w:t>
            </w:r>
          </w:p>
        </w:tc>
      </w:tr>
    </w:tbl>
    <w:p>
      <w:pPr>
        <w:sectPr>
          <w:pgSz w:w="11900" w:h="16838" w:orient="portrait"/>
          <w:cols w:equalWidth="0" w:num="1">
            <w:col w:w="10780"/>
          </w:cols>
          <w:pgMar w:left="240" w:top="122" w:right="87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333-222877), pertaining to the 2007 Employee Stock Purchase Plan of Haemonetics Corporation;</w:t>
      </w:r>
    </w:p>
    <w:p>
      <w:pPr>
        <w:spacing w:after="0" w:line="9" w:lineRule="exact"/>
        <w:rPr>
          <w:rFonts w:ascii="Arial" w:cs="Arial" w:eastAsia="Arial" w:hAnsi="Arial"/>
          <w:sz w:val="18"/>
          <w:szCs w:val="18"/>
          <w:color w:val="auto"/>
        </w:rPr>
      </w:pPr>
    </w:p>
    <w:p>
      <w:pPr>
        <w:ind w:right="600" w:firstLine="8"/>
        <w:spacing w:after="0" w:line="250"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333-200226), pertaining to the 2005 Long-Term Incentive Compensation Plan of Haemonetics Corporation;</w:t>
      </w:r>
    </w:p>
    <w:p>
      <w:pPr>
        <w:ind w:right="600" w:firstLine="8"/>
        <w:spacing w:after="0" w:line="250"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333-181847), pertaining to the 2005 Long-Term Incentive Compensation Plan of Haemonetics Corporation;</w:t>
      </w:r>
    </w:p>
    <w:p>
      <w:pPr>
        <w:ind w:right="600" w:firstLine="8"/>
        <w:spacing w:after="0" w:line="250"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333-159434), pertaining to the 2005 Long-Term Incentive Compensation Plan of Haemonetics Corporation;</w:t>
      </w:r>
    </w:p>
    <w:p>
      <w:pPr>
        <w:ind w:right="300" w:firstLine="8"/>
        <w:spacing w:after="0" w:line="250"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333-149205), pertaining to the 2007 Employee Stock Purchase Plan of Haemonetics Corporation, and</w:t>
      </w:r>
    </w:p>
    <w:p>
      <w:pPr>
        <w:ind w:right="600" w:firstLine="8"/>
        <w:spacing w:after="0" w:line="262"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333-136839), pertaining to the 2005 Long-Term Incentive Compensation Plan of Haemonetics Corporation;</w:t>
      </w:r>
    </w:p>
    <w:p>
      <w:pPr>
        <w:spacing w:after="0" w:line="200" w:lineRule="exact"/>
        <w:rPr>
          <w:sz w:val="20"/>
          <w:szCs w:val="20"/>
          <w:color w:val="auto"/>
        </w:rPr>
      </w:pP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 our reports dated May 22, 2019, with respect to the consolidated financial statements and schedule of Haemonetics Corporation and the effectiveness of internal control over financial reporting of Haemonetics Corporation included in this Annual Report (Form 10-K) of Haemonetics Corporation for the fiscal year ended March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22, 2019</w:t>
      </w:r>
    </w:p>
    <w:p>
      <w:pPr>
        <w:sectPr>
          <w:pgSz w:w="11900" w:h="16838" w:orient="portrait"/>
          <w:cols w:equalWidth="0" w:num="1">
            <w:col w:w="11420"/>
          </w:cols>
          <w:pgMar w:left="240" w:top="576"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2019</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and Chief Executive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0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2019</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Financial Officer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30, 2019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2019</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30, 2019 as filed with the Securities and Exchange Commission on the date hereof (the “Report”), I, William Burke, Chief Financial Officer and Executive Vice President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2019</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 Executive Vice President, Chief</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Financial Officer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upperLetter"/>
      <w:start w:val="2"/>
    </w:lvl>
  </w:abstractNum>
  <w:abstractNum w:abstractNumId="26">
    <w:nsid w:val="2463B9EA"/>
    <w:multiLevelType w:val="hybridMultilevel"/>
    <w:lvl w:ilvl="0">
      <w:lvlJc w:val="left"/>
      <w:lvlText w:val="*"/>
      <w:numFmt w:val="bullet"/>
      <w:start w:val="1"/>
    </w:lvl>
    <w:lvl w:ilvl="1">
      <w:lvlJc w:val="left"/>
      <w:lvlText w:val="(%2)"/>
      <w:numFmt w:val="lowerRoman"/>
      <w:start w:val="3"/>
    </w:lvl>
  </w:abstractNum>
  <w:abstractNum w:abstractNumId="27">
    <w:nsid w:val="5E884ADC"/>
    <w:multiLevelType w:val="hybridMultilevel"/>
    <w:lvl w:ilvl="0">
      <w:lvlJc w:val="left"/>
      <w:lvlText w:val="*"/>
      <w:numFmt w:val="bullet"/>
      <w:start w:val="1"/>
    </w:lvl>
    <w:lvl w:ilvl="1">
      <w:lvlJc w:val="left"/>
      <w:lvlText w:val="(%2)"/>
      <w:numFmt w:val="lowerRoman"/>
      <w:start w:val="6"/>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ˆ"/>
      <w:numFmt w:val="bullet"/>
      <w:start w:val="1"/>
    </w:lvl>
  </w:abstractNum>
  <w:abstractNum w:abstractNumId="30">
    <w:nsid w:val="580BD78F"/>
    <w:multiLevelType w:val="hybridMultilevel"/>
    <w:lvl w:ilvl="0">
      <w:lvlJc w:val="left"/>
      <w:lvlText w:val="%1."/>
      <w:numFmt w:val="decimal"/>
      <w:start w:val="2"/>
    </w:lvl>
    <w:lvl w:ilvl="1">
      <w:lvlJc w:val="left"/>
      <w:lvlText w:val="(%2)"/>
      <w:numFmt w:val="lowerLetter"/>
      <w:start w:val="1"/>
    </w:lvl>
  </w:abstractNum>
  <w:abstractNum w:abstractNumId="31">
    <w:nsid w:val="153EA438"/>
    <w:multiLevelType w:val="hybridMultilevel"/>
    <w:lvl w:ilvl="0">
      <w:lvlJc w:val="left"/>
      <w:lvlText w:val="(%1)"/>
      <w:numFmt w:val="lowerLetter"/>
      <w:start w:val="2"/>
    </w:lvl>
  </w:abstractNum>
  <w:abstractNum w:abstractNumId="32">
    <w:nsid w:val="3855585C"/>
    <w:multiLevelType w:val="hybridMultilevel"/>
    <w:lvl w:ilvl="0">
      <w:lvlJc w:val="left"/>
      <w:lvlText w:val="(%1)"/>
      <w:numFmt w:val="lowerLetter"/>
      <w:start w:val="4"/>
    </w:lvl>
    <w:lvl w:ilvl="1">
      <w:lvlJc w:val="left"/>
      <w:lvlText w:val="(%2)"/>
      <w:numFmt w:val="decimal"/>
      <w:start w:val="1"/>
    </w:lvl>
  </w:abstractNum>
  <w:abstractNum w:abstractNumId="33">
    <w:nsid w:val="70A64E2A"/>
    <w:multiLevelType w:val="hybridMultilevel"/>
    <w:lvl w:ilvl="0">
      <w:lvlJc w:val="left"/>
      <w:lvlText w:val="(%1)"/>
      <w:numFmt w:val="decimal"/>
      <w:start w:val="3"/>
    </w:lvl>
    <w:lvl w:ilvl="1">
      <w:lvlJc w:val="left"/>
      <w:lvlText w:val="(%2)"/>
      <w:numFmt w:val="upperLetter"/>
      <w:start w:val="1"/>
    </w:lvl>
  </w:abstractNum>
  <w:abstractNum w:abstractNumId="34">
    <w:nsid w:val="6A2342EC"/>
    <w:multiLevelType w:val="hybridMultilevel"/>
    <w:lvl w:ilvl="0">
      <w:lvlJc w:val="left"/>
      <w:lvlText w:val="(%1)"/>
      <w:numFmt w:val="decimal"/>
      <w:start w:val="4"/>
    </w:lvl>
  </w:abstractNum>
  <w:abstractNum w:abstractNumId="35">
    <w:nsid w:val="2A487CB0"/>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36">
    <w:nsid w:val="1D4ED43B"/>
    <w:multiLevelType w:val="hybridMultilevel"/>
    <w:lvl w:ilvl="0">
      <w:lvlJc w:val="left"/>
      <w:lvlText w:val="(%1)"/>
      <w:numFmt w:val="decimal"/>
      <w:start w:val="2"/>
    </w:lvl>
  </w:abstractNum>
  <w:abstractNum w:abstractNumId="37">
    <w:nsid w:val="725A06FB"/>
    <w:multiLevelType w:val="hybridMultilevel"/>
    <w:lvl w:ilvl="0">
      <w:lvlJc w:val="left"/>
      <w:lvlText w:val="(%1)"/>
      <w:numFmt w:val="decimal"/>
      <w:start w:val="3"/>
    </w:lvl>
    <w:lvl w:ilvl="1">
      <w:lvlJc w:val="left"/>
      <w:lvlText w:val="(%2)"/>
      <w:numFmt w:val="upperLetter"/>
      <w:start w:val="1"/>
    </w:lvl>
  </w:abstractNum>
  <w:abstractNum w:abstractNumId="38">
    <w:nsid w:val="2CD89A32"/>
    <w:multiLevelType w:val="hybridMultilevel"/>
    <w:lvl w:ilvl="0">
      <w:lvlJc w:val="left"/>
      <w:lvlText w:val="(%1)"/>
      <w:numFmt w:val="decimal"/>
      <w:start w:val="5"/>
    </w:lvl>
  </w:abstractNum>
  <w:abstractNum w:abstractNumId="39">
    <w:nsid w:val="57E4CCAF"/>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lvl w:ilvl="3">
      <w:lvlJc w:val="left"/>
      <w:lvlText w:val="(%4)"/>
      <w:numFmt w:val="upperLetter"/>
      <w:start w:val="1"/>
    </w:lvl>
  </w:abstractNum>
  <w:abstractNum w:abstractNumId="40">
    <w:nsid w:val="7A6D8D3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41">
    <w:nsid w:val="4B588F54"/>
    <w:multiLevelType w:val="hybridMultilevel"/>
    <w:lvl w:ilvl="0">
      <w:lvlJc w:val="left"/>
      <w:lvlText w:val="%1."/>
      <w:numFmt w:val="decimal"/>
      <w:start w:val="5"/>
    </w:lvl>
  </w:abstractNum>
  <w:abstractNum w:abstractNumId="42">
    <w:nsid w:val="542289EC"/>
    <w:multiLevelType w:val="hybridMultilevel"/>
    <w:lvl w:ilvl="0">
      <w:lvlJc w:val="left"/>
      <w:lvlText w:val="%1."/>
      <w:numFmt w:val="decimal"/>
      <w:start w:val="8"/>
    </w:lvl>
  </w:abstractNum>
  <w:abstractNum w:abstractNumId="43">
    <w:nsid w:val="6DE91B18"/>
    <w:multiLevelType w:val="hybridMultilevel"/>
    <w:lvl w:ilvl="0">
      <w:lvlJc w:val="left"/>
      <w:lvlText w:val="%1."/>
      <w:numFmt w:val="decimal"/>
      <w:start w:val="9"/>
    </w:lvl>
  </w:abstractNum>
  <w:abstractNum w:abstractNumId="44">
    <w:nsid w:val="38437FDB"/>
    <w:multiLevelType w:val="hybridMultilevel"/>
    <w:lvl w:ilvl="0">
      <w:lvlJc w:val="left"/>
      <w:lvlText w:val="%1."/>
      <w:numFmt w:val="decimal"/>
      <w:start w:val="10"/>
    </w:lvl>
  </w:abstractNum>
  <w:abstractNum w:abstractNumId="45">
    <w:nsid w:val="7644A45C"/>
    <w:multiLevelType w:val="hybridMultilevel"/>
    <w:lvl w:ilvl="0">
      <w:lvlJc w:val="left"/>
      <w:lvlText w:val="%1."/>
      <w:numFmt w:val="decimal"/>
      <w:start w:val="11"/>
    </w:lvl>
    <w:lvl w:ilvl="1">
      <w:lvlJc w:val="left"/>
      <w:lvlText w:val="(%2)"/>
      <w:numFmt w:val="lowerLetter"/>
      <w:start w:val="1"/>
    </w:lvl>
  </w:abstractNum>
  <w:abstractNum w:abstractNumId="46">
    <w:nsid w:val="32FFF902"/>
    <w:multiLevelType w:val="hybridMultilevel"/>
    <w:lvl w:ilvl="0">
      <w:lvlJc w:val="left"/>
      <w:lvlText w:val="(%1)"/>
      <w:numFmt w:val="lowerLetter"/>
      <w:start w:val="2"/>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67" Type="http://schemas.openxmlformats.org/officeDocument/2006/relationships/image" Target="media/image8.png"/><Relationship Id="rId68" Type="http://schemas.openxmlformats.org/officeDocument/2006/relationships/image" Target="media/image9.png"/><Relationship Id="rId69" Type="http://schemas.openxmlformats.org/officeDocument/2006/relationships/image" Target="media/image10.png"/><Relationship Id="rId70" Type="http://schemas.openxmlformats.org/officeDocument/2006/relationships/image" Target="media/image11.png"/><Relationship Id="rId71" Type="http://schemas.openxmlformats.org/officeDocument/2006/relationships/image" Target="media/image12.png"/><Relationship Id="rId15" Type="http://schemas.openxmlformats.org/officeDocument/2006/relationships/hyperlink" Target="http://www.sec.gov/Archives/edgar/data/313143/000031314318000046/exhibit31-restatedarticles.htm" TargetMode="External"/><Relationship Id="rId16" Type="http://schemas.openxmlformats.org/officeDocument/2006/relationships/hyperlink" Target="http://www.sec.gov/Archives/edgar/data/313143/000031314318000046/exhibit33-byxlawsasamended.htm" TargetMode="External"/><Relationship Id="rId17" Type="http://schemas.openxmlformats.org/officeDocument/2006/relationships/hyperlink" Target="http://www.sec.gov/Archives/edgar/data/313143/000091064703000228/hae-10ag.txt" TargetMode="External"/><Relationship Id="rId18" Type="http://schemas.openxmlformats.org/officeDocument/2006/relationships/hyperlink" Target="http://www.sec.gov/Archives/edgar/data/313143/000031314313000085/a10dpaleetsdalebuncher3rd.htm" TargetMode="External"/><Relationship Id="rId19" Type="http://schemas.openxmlformats.org/officeDocument/2006/relationships/hyperlink" Target="http://www.sec.gov/Archives/edgar/data/313143/000031314313000085/a10epa-leetsdaleamend4.htm" TargetMode="External"/><Relationship Id="rId20" Type="http://schemas.openxmlformats.org/officeDocument/2006/relationships/hyperlink" Target="http://www.sec.gov/Archives/edgar/data/313143/000031314313000085/a10fpaleetsdaleamdend5.htm" TargetMode="External"/><Relationship Id="rId21" Type="http://schemas.openxmlformats.org/officeDocument/2006/relationships/hyperlink" Target="http://www.sec.gov/Archives/edgar/data/313143/000031314313000085/a10gpaleetsdaleamend6th.htm" TargetMode="External"/><Relationship Id="rId22" Type="http://schemas.openxmlformats.org/officeDocument/2006/relationships/hyperlink" Target="http://www.sec.gov/Archives/edgar/data/313143/000031314313000085/a10hleetsdale7thamend12.htm" TargetMode="External"/><Relationship Id="rId23" Type="http://schemas.openxmlformats.org/officeDocument/2006/relationships/hyperlink" Target="http://www.sec.gov/Archives/edgar/data/313143/000031314313000085/a10ileetsdale8amend.htm" TargetMode="External"/><Relationship Id="rId24" Type="http://schemas.openxmlformats.org/officeDocument/2006/relationships/hyperlink" Target="http://www.sec.gov/Archives/edgar/data/313143/000031314318000020/fy2018exh10j.htm" TargetMode="External"/><Relationship Id="rId25" Type="http://schemas.openxmlformats.org/officeDocument/2006/relationships/hyperlink" Target="http://www.sec.gov/Archives/edgar/data/313143/000031314318000020/fy2018exh10k.htm" TargetMode="External"/><Relationship Id="rId26" Type="http://schemas.openxmlformats.org/officeDocument/2006/relationships/hyperlink" Target="http://www.sec.gov/Archives/edgar/data/313143/000031314318000020/fy2018exh10l.htm" TargetMode="External"/><Relationship Id="rId27" Type="http://schemas.openxmlformats.org/officeDocument/2006/relationships/hyperlink" Target="http://www.sec.gov/Archives/edgar/data/313143/000031314313000085/a10jleasebbva_ensatec2x21x.htm" TargetMode="External"/><Relationship Id="rId28" Type="http://schemas.openxmlformats.org/officeDocument/2006/relationships/hyperlink" Target="http://www.sec.gov/Archives/edgar/data/313143/000031314313000085/a10kbbvaensatec11730tijuan.htm" TargetMode="External"/><Relationship Id="rId29" Type="http://schemas.openxmlformats.org/officeDocument/2006/relationships/hyperlink" Target="http://www.sec.gov/Archives/edgar/data/313143/000031314313000085/a10lextleasefeb212000ensat.htm" TargetMode="External"/><Relationship Id="rId30" Type="http://schemas.openxmlformats.org/officeDocument/2006/relationships/hyperlink" Target="http://www.sec.gov/Archives/edgar/data/313143/000031314313000085/a10mbbvaletteragreeaug1420.htm" TargetMode="External"/><Relationship Id="rId31" Type="http://schemas.openxmlformats.org/officeDocument/2006/relationships/hyperlink" Target="http://www.sec.gov/Archives/edgar/data/313143/000031314313000085/a10n11730tijuianaletterfeb.htm" TargetMode="External"/><Relationship Id="rId32" Type="http://schemas.openxmlformats.org/officeDocument/2006/relationships/hyperlink" Target="http://www.sec.gov/Archives/edgar/data/313143/000031314318000020/fy2018exh10r.htm" TargetMode="External"/><Relationship Id="rId33" Type="http://schemas.openxmlformats.org/officeDocument/2006/relationships/hyperlink" Target="http://www.sec.gov/Archives/edgar/data/313143/000031314313000085/a10wcolungaleaseagreedec32.htm" TargetMode="External"/><Relationship Id="rId34" Type="http://schemas.openxmlformats.org/officeDocument/2006/relationships/hyperlink" Target="http://www.sec.gov/Archives/edgar/data/313143/000031314313000085/a10xcolungaassignleasedec2.htm" TargetMode="External"/><Relationship Id="rId35" Type="http://schemas.openxmlformats.org/officeDocument/2006/relationships/hyperlink" Target="http://www.sec.gov/Archives/edgar/data/313143/000031314318000020/fy2018exh10u.htm" TargetMode="External"/><Relationship Id="rId36" Type="http://schemas.openxmlformats.org/officeDocument/2006/relationships/hyperlink" Target="http://www.sec.gov/Archives/edgar/data/313143/000031314313000085/a10ycolungasubleasedec32011.htm" TargetMode="External"/><Relationship Id="rId37" Type="http://schemas.openxmlformats.org/officeDocument/2006/relationships/hyperlink" Target="http://www.sec.gov/Archives/edgar/data/313143/000031314313000085/a10zcolungasubleasefeb2320.htm" TargetMode="External"/><Relationship Id="rId38" Type="http://schemas.openxmlformats.org/officeDocument/2006/relationships/hyperlink" Target="http://www.sec.gov/Archives/edgar/data/313143/000031314314000097/haeq1june2015exhibit10dpen.htm" TargetMode="External"/><Relationship Id="rId39" Type="http://schemas.openxmlformats.org/officeDocument/2006/relationships/hyperlink" Target="http://www.sec.gov/Archives/edgar/data/313143/000031314319000007/haeq3dec2019ex101.htm" TargetMode="External"/><Relationship Id="rId40" Type="http://schemas.openxmlformats.org/officeDocument/2006/relationships/hyperlink" Target="http://www.sec.gov/Archives/edgar/data/313143/000031314314000086/a2005long-termincentivepla.htm" TargetMode="External"/><Relationship Id="rId41" Type="http://schemas.openxmlformats.org/officeDocument/2006/relationships/hyperlink" Target="http://www.sec.gov/Archives/edgar/data/313143/000110465905053967/a05-19810_1ex10d1.htm" TargetMode="External"/><Relationship Id="rId42" Type="http://schemas.openxmlformats.org/officeDocument/2006/relationships/hyperlink" Target="http://www.sec.gov/Archives/edgar/data/313143/000095012310054652/b80592exv10ws.htm" TargetMode="External"/><Relationship Id="rId43" Type="http://schemas.openxmlformats.org/officeDocument/2006/relationships/hyperlink" Target="http://www.sec.gov/Archives/edgar/data/313143/000031314318000052/haeq1jun2019ex102.htm" TargetMode="External"/><Relationship Id="rId44" Type="http://schemas.openxmlformats.org/officeDocument/2006/relationships/hyperlink" Target="http://www.sec.gov/Archives/edgar/data/313143/000031314318000052/haeq1jun2019ex105.htm" TargetMode="External"/><Relationship Id="rId45" Type="http://schemas.openxmlformats.org/officeDocument/2006/relationships/hyperlink" Target="http://www.sec.gov/Archives/edgar/data/313143/000095012310054652/b80592exv10wu.htm" TargetMode="External"/><Relationship Id="rId46" Type="http://schemas.openxmlformats.org/officeDocument/2006/relationships/hyperlink" Target="http://www.sec.gov/Archives/edgar/data/313143/000031314318000052/haeq1jun2019ex104.htm" TargetMode="External"/><Relationship Id="rId47" Type="http://schemas.openxmlformats.org/officeDocument/2006/relationships/hyperlink" Target="http://www.sec.gov/Archives/edgar/data/313143/000031314316000143/haeq1jun2017ex102.htm" TargetMode="External"/><Relationship Id="rId48" Type="http://schemas.openxmlformats.org/officeDocument/2006/relationships/hyperlink" Target="http://www.sec.gov/Archives/edgar/data/313143/000031314313000108/a102nonqualifieddeferredc.htm" TargetMode="External"/><Relationship Id="rId49" Type="http://schemas.openxmlformats.org/officeDocument/2006/relationships/hyperlink" Target="http://www.sec.gov/Archives/edgar/data/313143/000031314316000123/exhibit101haemonetics-simo.htm" TargetMode="External"/><Relationship Id="rId50" Type="http://schemas.openxmlformats.org/officeDocument/2006/relationships/hyperlink" Target="http://www.sec.gov/Archives/edgar/data/313143/000031314317000044/haeq2sep2018ex104.htm" TargetMode="External"/><Relationship Id="rId51" Type="http://schemas.openxmlformats.org/officeDocument/2006/relationships/hyperlink" Target="http://www.sec.gov/Archives/edgar/data/313143/000031314317000044/haeq2sep2018ex105.htm" TargetMode="External"/><Relationship Id="rId52" Type="http://schemas.openxmlformats.org/officeDocument/2006/relationships/hyperlink" Target="http://www.sec.gov/Archives/edgar/data/313143/000031314317000044/haeq2sep2018ex102.htm" TargetMode="External"/><Relationship Id="rId53" Type="http://schemas.openxmlformats.org/officeDocument/2006/relationships/hyperlink" Target="http://www.sec.gov/Archives/edgar/data/313143/000031314317000044/haeq2sep2018ex103.htm" TargetMode="External"/><Relationship Id="rId54" Type="http://schemas.openxmlformats.org/officeDocument/2006/relationships/hyperlink" Target="http://www.sec.gov/Archives/edgar/data/313143/000031314316000143/haeq1jun2017ex103.htm" TargetMode="External"/><Relationship Id="rId55" Type="http://schemas.openxmlformats.org/officeDocument/2006/relationships/hyperlink" Target="http://www.sec.gov/Archives/edgar/data/313143/000031314319000010/exhibit101.htm" TargetMode="External"/><Relationship Id="rId56" Type="http://schemas.openxmlformats.org/officeDocument/2006/relationships/hyperlink" Target="http://www.sec.gov/Archives/edgar/data/313143/000031314317000034/haeq1jun2018ex102.htm" TargetMode="External"/><Relationship Id="rId57" Type="http://schemas.openxmlformats.org/officeDocument/2006/relationships/hyperlink" Target="http://www.sec.gov/Archives/edgar/data/313143/000031314317000034/haeq1jun2018ex103.htm" TargetMode="External"/><Relationship Id="rId58" Type="http://schemas.openxmlformats.org/officeDocument/2006/relationships/hyperlink" Target="http://www.sec.gov/Archives/edgar/data/313143/000031314315000033/hae20150328exh10ap.htm" TargetMode="External"/><Relationship Id="rId59" Type="http://schemas.openxmlformats.org/officeDocument/2006/relationships/hyperlink" Target="http://www.sec.gov/Archives/edgar/data/313143/000031314318000020/fy2018exh10an.htm" TargetMode="External"/><Relationship Id="rId60" Type="http://schemas.openxmlformats.org/officeDocument/2006/relationships/hyperlink" Target="http://www.sec.gov/Archives/edgar/data/313143/000031314318000020/fy2018exh10ao.htm" TargetMode="External"/><Relationship Id="rId61" Type="http://schemas.openxmlformats.org/officeDocument/2006/relationships/hyperlink" Target="http://www.sec.gov/Archives/edgar/data/313143/000031314318000052/haeq1jun2019ex103.htm" TargetMode="External"/><Relationship Id="rId62" Type="http://schemas.openxmlformats.org/officeDocument/2006/relationships/hyperlink" Target="http://www.sec.gov/Archives/edgar/data/313143/000031314317000017/fy2017exh10ah.htm" TargetMode="External"/><Relationship Id="rId63" Type="http://schemas.openxmlformats.org/officeDocument/2006/relationships/hyperlink" Target="http://www.sec.gov/Archives/edgar/data/313143/000031314318000058/haeq2sep2019ex101.htm" TargetMode="External"/><Relationship Id="rId64" Type="http://schemas.openxmlformats.org/officeDocument/2006/relationships/hyperlink" Target="http://www.sec.gov/Archives/edgar/data/313143/000031314312000071/hae20120331exh10z.htm" TargetMode="External"/><Relationship Id="rId65" Type="http://schemas.openxmlformats.org/officeDocument/2006/relationships/hyperlink" Target="http://www.sec.gov/Archives/edgar/data/313143/000031314317000034/haeq1jun2018ex101.htm" TargetMode="External"/><Relationship Id="rId66" Type="http://schemas.openxmlformats.org/officeDocument/2006/relationships/hyperlink" Target="http://www.sec.gov/Archives/edgar/data/313143/000031314318000040/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2019-12-28T11:40:18Z</dcterms:created>
  <dcterms:modified xsi:type="dcterms:W3CDTF">2019-12-28T11:40:18Z</dcterms:modified>
</cp:coreProperties>
</file>