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27, 2008  Commission File Number: 1-10730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HAEMONETICS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04-2882273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30"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400 Wood Road, Braintree, MA 02184</w:t>
      </w:r>
    </w:p>
    <w:p>
      <w:pPr>
        <w:spacing w:after="0" w:line="50" w:lineRule="exact"/>
        <w:rPr>
          <w:sz w:val="24"/>
          <w:szCs w:val="24"/>
          <w:color w:val="auto"/>
        </w:rPr>
      </w:pPr>
    </w:p>
    <w:p>
      <w:pPr>
        <w:ind w:left="428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233"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r>
        <w:rPr>
          <w:rFonts w:ascii="Arial" w:cs="Arial" w:eastAsia="Arial" w:hAnsi="Arial"/>
          <w:sz w:val="18"/>
          <w:szCs w:val="18"/>
          <w:b w:val="1"/>
          <w:bCs w:val="1"/>
          <w:color w:val="auto"/>
        </w:rPr>
        <w:t>: (781) 848-7100</w:t>
      </w:r>
    </w:p>
    <w:p>
      <w:pPr>
        <w:spacing w:after="0" w:line="22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181" w:lineRule="exact"/>
        <w:rPr>
          <w:sz w:val="24"/>
          <w:szCs w:val="24"/>
          <w:color w:val="auto"/>
        </w:rPr>
      </w:pPr>
    </w:p>
    <w:p>
      <w:pPr>
        <w:ind w:left="4320"/>
        <w:spacing w:after="0"/>
        <w:tabs>
          <w:tab w:leader="none" w:pos="51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o</w:t>
      </w:r>
    </w:p>
    <w:p>
      <w:pPr>
        <w:spacing w:after="0" w:line="225"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3">
            <w:col w:w="3960" w:space="140"/>
            <w:col w:w="1380" w:space="720"/>
            <w:col w:w="5220"/>
          </w:cols>
          <w:pgMar w:left="240" w:top="233" w:right="239" w:bottom="0" w:gutter="0" w:footer="0" w:header="0"/>
          <w:type w:val="continuous"/>
        </w:sectPr>
      </w:pPr>
    </w:p>
    <w:p>
      <w:pPr>
        <w:spacing w:after="0" w:line="48"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3">
            <w:col w:w="3860" w:space="140"/>
            <w:col w:w="1480" w:space="720"/>
            <w:col w:w="5220"/>
          </w:cols>
          <w:pgMar w:left="240" w:top="233" w:right="23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ind w:left="4320"/>
        <w:spacing w:after="0"/>
        <w:tabs>
          <w:tab w:leader="none" w:pos="51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number of shares of $.01 par value common stock outstanding as of September 27,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25,292,000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480" w:type="dxa"/>
            <w:vAlign w:val="bottom"/>
            <w:gridSpan w:val="9"/>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1660" w:type="dxa"/>
            <w:vAlign w:val="bottom"/>
            <w:tcBorders>
              <w:bottom w:val="single" w:sz="8" w:color="0000EE"/>
            </w:tcBorders>
          </w:tcPr>
          <w:p>
            <w:pPr>
              <w:ind w:left="40"/>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Financial Statements</w:t>
              </w:r>
            </w:hyperlink>
          </w:p>
        </w:tc>
        <w:tc>
          <w:tcPr>
            <w:tcW w:w="8100" w:type="dxa"/>
            <w:vAlign w:val="bottom"/>
            <w:gridSpan w:val="6"/>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120" w:type="dxa"/>
            <w:vAlign w:val="bottom"/>
            <w:gridSpan w:val="8"/>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Unaudited Consolidated Statements of Income – Three and Six Months Ended September 27, 2008 and September 29, 2007</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8940" w:type="dxa"/>
            <w:vAlign w:val="bottom"/>
            <w:tcBorders>
              <w:top w:val="single" w:sz="8" w:color="0000EE"/>
            </w:tcBorders>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 — September 27, 2008 and March 31, 2008</w:t>
              </w:r>
            </w:hyperlink>
          </w:p>
        </w:tc>
        <w:tc>
          <w:tcPr>
            <w:tcW w:w="1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12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 of Stockholders’ Equity - Six Months Ended September 27, 2008</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gridSpan w:val="3"/>
            <w:shd w:val="clear" w:color="auto" w:fill="0000EE"/>
          </w:tcPr>
          <w:p>
            <w:pPr>
              <w:spacing w:after="0" w:line="20" w:lineRule="exact"/>
              <w:rPr>
                <w:sz w:val="1"/>
                <w:szCs w:val="1"/>
                <w:color w:val="auto"/>
              </w:rPr>
            </w:pPr>
          </w:p>
        </w:tc>
        <w:tc>
          <w:tcPr>
            <w:tcW w:w="22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1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Cash Flows - Six Months Ended September 27, 2008 and September 29, 2007</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84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Notes to Unaudited Consolidated Financial Statements</w:t>
            </w:r>
          </w:p>
        </w:tc>
        <w:tc>
          <w:tcPr>
            <w:tcW w:w="168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92"/>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2.</w:t>
              </w:r>
            </w:hyperlink>
          </w:p>
        </w:tc>
        <w:tc>
          <w:tcPr>
            <w:tcW w:w="6900" w:type="dxa"/>
            <w:vAlign w:val="bottom"/>
            <w:tcBorders>
              <w:bottom w:val="single" w:sz="8" w:color="0000EE"/>
            </w:tcBorders>
            <w:gridSpan w:val="4"/>
          </w:tcPr>
          <w:p>
            <w:pPr>
              <w:ind w:left="40"/>
              <w:spacing w:after="0"/>
              <w:rPr>
                <w:rFonts w:ascii="Arial" w:cs="Arial" w:eastAsia="Arial" w:hAnsi="Arial"/>
                <w:sz w:val="18"/>
                <w:szCs w:val="18"/>
                <w:b w:val="1"/>
                <w:bCs w:val="1"/>
                <w:color w:val="0000EE"/>
                <w:w w:val="89"/>
              </w:rPr>
            </w:pPr>
            <w:hyperlink w:anchor="page15">
              <w:r>
                <w:rPr>
                  <w:rFonts w:ascii="Arial" w:cs="Arial" w:eastAsia="Arial" w:hAnsi="Arial"/>
                  <w:sz w:val="18"/>
                  <w:szCs w:val="18"/>
                  <w:b w:val="1"/>
                  <w:bCs w:val="1"/>
                  <w:color w:val="0000EE"/>
                  <w:w w:val="89"/>
                </w:rPr>
                <w:t>Management’s Discussion and Analysis of Financial Condition and Results of Operations</w:t>
              </w:r>
            </w:hyperlink>
          </w:p>
        </w:tc>
        <w:tc>
          <w:tcPr>
            <w:tcW w:w="286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720" w:type="dxa"/>
            <w:vAlign w:val="bottom"/>
            <w:gridSpan w:val="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3.</w:t>
              </w:r>
            </w:hyperlink>
          </w:p>
        </w:tc>
        <w:tc>
          <w:tcPr>
            <w:tcW w:w="9760" w:type="dxa"/>
            <w:vAlign w:val="bottom"/>
            <w:gridSpan w:val="7"/>
          </w:tcPr>
          <w:p>
            <w:pPr>
              <w:ind w:left="4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Quantitative and Qualitative Disclosures about Market Risk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4.</w:t>
              </w:r>
            </w:hyperlink>
          </w:p>
        </w:tc>
        <w:tc>
          <w:tcPr>
            <w:tcW w:w="3520" w:type="dxa"/>
            <w:vAlign w:val="bottom"/>
            <w:gridSpan w:val="5"/>
          </w:tcPr>
          <w:p>
            <w:pPr>
              <w:ind w:left="4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Controls and Procedures</w:t>
              </w:r>
            </w:hyperlink>
          </w:p>
        </w:tc>
        <w:tc>
          <w:tcPr>
            <w:tcW w:w="7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1420" w:type="dxa"/>
            <w:vAlign w:val="bottom"/>
          </w:tcPr>
          <w:p>
            <w:pPr>
              <w:spacing w:after="0"/>
              <w:rPr>
                <w:sz w:val="24"/>
                <w:szCs w:val="24"/>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6.</w:t>
              </w:r>
            </w:hyperlink>
          </w:p>
        </w:tc>
        <w:tc>
          <w:tcPr>
            <w:tcW w:w="680" w:type="dxa"/>
            <w:vAlign w:val="bottom"/>
            <w:tcBorders>
              <w:bottom w:val="single" w:sz="8" w:color="0000EE"/>
            </w:tcBorders>
            <w:gridSpan w:val="2"/>
          </w:tcPr>
          <w:p>
            <w:pPr>
              <w:ind w:left="40"/>
              <w:spacing w:after="0"/>
              <w:rPr>
                <w:rFonts w:ascii="Arial" w:cs="Arial" w:eastAsia="Arial" w:hAnsi="Arial"/>
                <w:sz w:val="18"/>
                <w:szCs w:val="18"/>
                <w:b w:val="1"/>
                <w:bCs w:val="1"/>
                <w:color w:val="0000EE"/>
                <w:w w:val="88"/>
              </w:rPr>
            </w:pPr>
            <w:hyperlink w:anchor="page26">
              <w:r>
                <w:rPr>
                  <w:rFonts w:ascii="Arial" w:cs="Arial" w:eastAsia="Arial" w:hAnsi="Arial"/>
                  <w:sz w:val="18"/>
                  <w:szCs w:val="18"/>
                  <w:b w:val="1"/>
                  <w:bCs w:val="1"/>
                  <w:color w:val="0000EE"/>
                  <w:w w:val="88"/>
                </w:rPr>
                <w:t>Exhibits</w:t>
              </w:r>
            </w:hyperlink>
          </w:p>
        </w:tc>
        <w:tc>
          <w:tcPr>
            <w:tcW w:w="2840" w:type="dxa"/>
            <w:vAlign w:val="bottom"/>
            <w:gridSpan w:val="3"/>
          </w:tcPr>
          <w:p>
            <w:pPr>
              <w:spacing w:after="0"/>
              <w:rPr>
                <w:sz w:val="24"/>
                <w:szCs w:val="24"/>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4240" w:type="dxa"/>
            <w:vAlign w:val="bottom"/>
            <w:gridSpan w:val="7"/>
          </w:tcPr>
          <w:p>
            <w:pPr>
              <w:ind w:left="360"/>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7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53"/>
        </w:trPr>
        <w:tc>
          <w:tcPr>
            <w:tcW w:w="3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2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3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7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September 27</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September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27</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121,179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goods sold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71,230</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61,290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142,309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121,732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74,689</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59,889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147,726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121,383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11,061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45,863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51,080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104,783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23,609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1,160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22,809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common share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0.59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25,038</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25,609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25,323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25,917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27, 2008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29, 2008</w:t>
            </w:r>
          </w:p>
        </w:tc>
      </w:tr>
      <w:tr>
        <w:trPr>
          <w:trHeight w:val="142"/>
        </w:trPr>
        <w:tc>
          <w:tcPr>
            <w:tcW w:w="6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111,331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133,553</w:t>
            </w: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w w:val="96"/>
              </w:rPr>
              <w:t>Accounts receivable, less allowance of $2,550 at September 27, 2008 and $2,365 at</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March 29, 2008</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122,500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120,252</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73,181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65,388</w:t>
            </w:r>
          </w:p>
        </w:tc>
      </w:tr>
    </w:tbl>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Deferred tax asset, net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10,974</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15,832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23,482</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341,468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Land, building and building improvements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43,631</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Plant equipment and machinery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97,491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Office equipment and information technology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53,222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Haemonetics equipment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378,816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(253,911)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b w:val="1"/>
                <w:bCs w:val="1"/>
                <w:color w:val="auto"/>
              </w:rPr>
              <w:t>Net property, plant and equipment</w:t>
            </w: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124,905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spacing w:after="0" w:line="201" w:lineRule="exact"/>
              <w:rPr>
                <w:sz w:val="20"/>
                <w:szCs w:val="20"/>
                <w:color w:val="auto"/>
              </w:rPr>
            </w:pPr>
            <w:r>
              <w:rPr>
                <w:rFonts w:ascii="Arial" w:cs="Arial" w:eastAsia="Arial" w:hAnsi="Arial"/>
                <w:sz w:val="18"/>
                <w:szCs w:val="18"/>
                <w:color w:val="auto"/>
                <w:w w:val="98"/>
              </w:rPr>
              <w:t>Other intangibles, less amortization of $22,801 at September 27, 2008 and $19,821 at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March 29, 2008</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65,095</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64,333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54,556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Deferred tax asset, long term</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9,894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other assets</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134,337</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600,710</w:t>
            </w: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608,950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92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20,292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costs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21,705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Accrued income taxes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29,126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87,186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5,697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Authorized - 150,000,000 shares; Issued and outstanding–</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25,292,000 shares at September 27, 2008 and 25,694,769 shares at March 29, 2008</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209,427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186,933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279,360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7,776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496,815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92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600,710</w:t>
            </w:r>
          </w:p>
        </w:tc>
        <w:tc>
          <w:tcPr>
            <w:tcW w:w="300" w:type="dxa"/>
            <w:vAlign w:val="bottom"/>
          </w:tcPr>
          <w:p>
            <w:pPr>
              <w:spacing w:after="0"/>
              <w:rPr>
                <w:sz w:val="18"/>
                <w:szCs w:val="18"/>
                <w:color w:val="auto"/>
              </w:rPr>
            </w:pPr>
          </w:p>
        </w:tc>
        <w:tc>
          <w:tcPr>
            <w:tcW w:w="740" w:type="dxa"/>
            <w:vAlign w:val="bottom"/>
            <w:gridSpan w:val="2"/>
          </w:tcPr>
          <w:p>
            <w:pPr>
              <w:jc w:val="right"/>
              <w:ind w:right="61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608,950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1280"/>
        <w:spacing w:after="0" w:line="275" w:lineRule="auto"/>
        <w:rPr>
          <w:sz w:val="20"/>
          <w:szCs w:val="20"/>
          <w:color w:val="auto"/>
        </w:rPr>
      </w:pPr>
      <w:r>
        <w:rPr>
          <w:rFonts w:ascii="Arial" w:cs="Arial" w:eastAsia="Arial" w:hAnsi="Arial"/>
          <w:sz w:val="18"/>
          <w:szCs w:val="18"/>
          <w:b w:val="1"/>
          <w:bCs w:val="1"/>
          <w:color w:val="auto"/>
        </w:rPr>
        <w:t>HAEMONETICS CORPORATION AND SUBSIDIARIES CONSOLIDATED STATEMENT OF STOCKHOLDERS’ EQUITY AND OTHER COMPREHENSIVE INCOME (Unaudited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Common Stock</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Additional</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Accumulated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7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Income /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29, 2008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25,695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186,933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   302,196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494,188</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160"/>
              <w:spacing w:after="0" w:line="201" w:lineRule="exact"/>
              <w:rPr>
                <w:sz w:val="20"/>
                <w:szCs w:val="20"/>
                <w:color w:val="auto"/>
              </w:rPr>
            </w:pPr>
            <w:r>
              <w:rPr>
                <w:rFonts w:ascii="Arial" w:cs="Arial" w:eastAsia="Arial" w:hAnsi="Arial"/>
                <w:sz w:val="18"/>
                <w:szCs w:val="18"/>
                <w:color w:val="auto"/>
              </w:rPr>
              <w:t>Exercise of stock options and</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related tax benefit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24,559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24,566</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repurchased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(59,998)</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160"/>
              <w:spacing w:after="0" w:line="201" w:lineRule="exact"/>
              <w:rPr>
                <w:sz w:val="20"/>
                <w:szCs w:val="20"/>
                <w:color w:val="auto"/>
              </w:rPr>
            </w:pPr>
            <w:r>
              <w:rPr>
                <w:rFonts w:ascii="Arial" w:cs="Arial" w:eastAsia="Arial" w:hAnsi="Arial"/>
                <w:sz w:val="18"/>
                <w:szCs w:val="18"/>
                <w:color w:val="auto"/>
              </w:rPr>
              <w:t>Issuance of restricted stock, net</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of cancellations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4,542</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29,148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Foreign currency translation</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Unrealized gain on hedges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4,690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4,690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Reclassification of hedge loss to</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3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tabs>
          <w:tab w:leader="none" w:pos="3080" w:val="left"/>
          <w:tab w:leader="none" w:pos="3800" w:val="left"/>
          <w:tab w:leader="none" w:pos="4220" w:val="left"/>
          <w:tab w:leader="none" w:pos="4700" w:val="left"/>
          <w:tab w:leader="none" w:pos="5020" w:val="left"/>
          <w:tab w:leader="none" w:pos="5800" w:val="left"/>
          <w:tab w:leader="none" w:pos="6120" w:val="left"/>
          <w:tab w:leader="none" w:pos="6920" w:val="left"/>
          <w:tab w:leader="none" w:pos="7980" w:val="left"/>
          <w:tab w:leader="none" w:pos="8600" w:val="left"/>
          <w:tab w:leader="none" w:pos="9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t>Balance, September 27, 2008</w:t>
      </w:r>
      <w:r>
        <w:rPr>
          <w:sz w:val="20"/>
          <w:szCs w:val="20"/>
          <w:color w:val="auto"/>
        </w:rPr>
        <w:tab/>
      </w:r>
      <w:r>
        <w:rPr>
          <w:rFonts w:ascii="Arial" w:cs="Arial" w:eastAsia="Arial" w:hAnsi="Arial"/>
          <w:sz w:val="18"/>
          <w:szCs w:val="18"/>
          <w:color w:val="auto"/>
        </w:rPr>
        <w:t>25,292</w:t>
        <w:tab/>
        <w:t>$</w:t>
      </w:r>
      <w:r>
        <w:rPr>
          <w:sz w:val="20"/>
          <w:szCs w:val="20"/>
          <w:color w:val="auto"/>
        </w:rPr>
        <w:tab/>
      </w:r>
      <w:r>
        <w:rPr>
          <w:rFonts w:ascii="Arial" w:cs="Arial" w:eastAsia="Arial" w:hAnsi="Arial"/>
          <w:sz w:val="18"/>
          <w:szCs w:val="18"/>
          <w:color w:val="auto"/>
        </w:rPr>
        <w:t>252</w:t>
      </w:r>
      <w:r>
        <w:rPr>
          <w:sz w:val="20"/>
          <w:szCs w:val="20"/>
          <w:color w:val="auto"/>
        </w:rPr>
        <w:tab/>
      </w:r>
      <w:r>
        <w:rPr>
          <w:rFonts w:ascii="Arial" w:cs="Arial" w:eastAsia="Arial" w:hAnsi="Arial"/>
          <w:sz w:val="18"/>
          <w:szCs w:val="18"/>
          <w:u w:val="single" w:color="auto"/>
          <w:color w:val="auto"/>
        </w:rPr>
        <w:t>$</w:t>
        <w:tab/>
        <w:t>209,427</w:t>
        <w:tab/>
        <w:t>$</w:t>
        <w:tab/>
        <w:t>279,360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7,776</w:t>
        <w:tab/>
        <w:t>$</w:t>
      </w:r>
      <w:r>
        <w:rPr>
          <w:sz w:val="20"/>
          <w:szCs w:val="20"/>
          <w:color w:val="auto"/>
        </w:rPr>
        <w:tab/>
      </w:r>
      <w:r>
        <w:rPr>
          <w:rFonts w:ascii="Arial" w:cs="Arial" w:eastAsia="Arial" w:hAnsi="Arial"/>
          <w:sz w:val="16"/>
          <w:szCs w:val="16"/>
          <w:color w:val="auto"/>
        </w:rPr>
        <w:t>496,815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17145</wp:posOffset>
            </wp:positionV>
            <wp:extent cx="441642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16425" cy="26035"/>
                    </a:xfrm>
                    <a:prstGeom prst="rect">
                      <a:avLst/>
                    </a:prstGeom>
                    <a:noFill/>
                  </pic:spPr>
                </pic:pic>
              </a:graphicData>
            </a:graphic>
          </wp:anchor>
        </w:drawing>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27,</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51"/>
              <w:spacing w:after="0" w:line="119" w:lineRule="exact"/>
              <w:rPr>
                <w:sz w:val="20"/>
                <w:szCs w:val="20"/>
                <w:color w:val="auto"/>
              </w:rPr>
            </w:pPr>
            <w:r>
              <w:rPr>
                <w:rFonts w:ascii="Arial" w:cs="Arial" w:eastAsia="Arial" w:hAnsi="Arial"/>
                <w:sz w:val="13"/>
                <w:szCs w:val="13"/>
                <w:b w:val="1"/>
                <w:bCs w:val="1"/>
                <w:color w:val="auto"/>
              </w:rPr>
              <w:t>September 29,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29,148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18,083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4,542</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Loss/(gain) on sales of plant, property and equipment</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Unrealized loss from hedging activities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3,706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accounts receivable, net</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Increase in inventories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(7,847)</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prepaid income taxes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Increase in other assets and other long-term liabilities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(11,105)</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of exercise of stock options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Increase in accounts payable and accrued expenses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9,634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on property, plant and equipment</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(28,775)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Proceeds from sale of property, plant and equipment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2,497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Medicell</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Acquisition of Infonale, Inc.</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long-term real estate mortgage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Net increase/(decrease) in short-term revolving credit agreements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17,598</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on exercise of stock options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Stock Repurchase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(59,998)</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133,553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229,227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2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Income taxes paid</w:t>
            </w: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7,394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three and six month periods ended September 27, 2008. Operating results for the six month period ended September 27, 2008 are not necessarily indicative of the results that may be expected for the full fiscal year ending March 28, 2009, or any other interim period. These unaudited consolidated financial statements should be read in</w:t>
      </w:r>
    </w:p>
    <w:p>
      <w:pPr>
        <w:sectPr>
          <w:pgSz w:w="11900" w:h="16838" w:orient="portrait"/>
          <w:cols w:equalWidth="0" w:num="1">
            <w:col w:w="11420"/>
          </w:cols>
          <w:pgMar w:left="240" w:top="337" w:right="239" w:bottom="0" w:gutter="0" w:footer="0" w:header="0"/>
        </w:sectPr>
      </w:pPr>
    </w:p>
    <w:bookmarkStart w:id="4" w:name="page5"/>
    <w:bookmarkEnd w:id="4"/>
    <w:p>
      <w:pPr>
        <w:ind w:right="100"/>
        <w:spacing w:after="0" w:line="277" w:lineRule="auto"/>
        <w:rPr>
          <w:sz w:val="20"/>
          <w:szCs w:val="20"/>
          <w:color w:val="auto"/>
        </w:rPr>
      </w:pPr>
      <w:r>
        <w:rPr>
          <w:rFonts w:ascii="Arial" w:cs="Arial" w:eastAsia="Arial" w:hAnsi="Arial"/>
          <w:sz w:val="18"/>
          <w:szCs w:val="18"/>
          <w:color w:val="auto"/>
        </w:rPr>
        <w:t>conjunction with our audited consolidated financial statements and footnotes included in our annual report on Form 10-K for the fiscal year ended March 29, 2008.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on the Saturday closest to the last day of March. Fiscal years 2009 and 2008 include 52 weeks with all four quarters including 13 weeks.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revenue recognition policy is to recognize revenues from product sales, software and services in accordance with SAB No. 104, “Revenue Recognition” , EITF 00-21, “Revenue Arrangements with Multiple Deliverables” and Statement of Position (“SOP”) 97-2, “Software Revenue Recognition, as amended”. 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other objective evidence as defined in EITF 00-21, or vendor specific objective evidenced under SOP 97-2.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and Service Revenues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At this time, our software and services business principally provides support to our plasma and blood collection customers. Through our Haemonetics Software Solutions unit, (formerly 5D™ Information Management (“5D”) and Information Data Management (“IDM”)),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Software license revenues are generally billed periodically, monthly or quarterly and recognized over the period in which the service is provided. Our software and service business model includes the provision of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2008, the FASB issued FASB Staff Position (FSP) No. 133-1 and FIN 45-4, “Disclosures about Credit Derivatives and Certain Guarantees: An Amendment of FASB Statement No. 133 and FASB Interpretation No. 45”. The FSP is intended to improve disclosures about credit derivatives by requiring more information about the potential adverse effects of changes in credit risk on the financial position, financial performance, and cash flows of the sellers of credit derivatives. It amends FASB Statement No. 133, “Accounting for Derivative Instruments and Hedging Activities”, to require disclosures by sellers of credit derivatives, including credit derivatives embedded in hybrid instruments. The provisions of the FSP that amend Statement 133 and Interpretation 45 are effective for reporting periods (annual or interim) ending after November 15, 2008. We have not issued or purchased credit derivatives. Nonetheless, we are currently evaluating the potential impact of FSP No. 133-1 and FIN 45-4 on our financial position and results of operations.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May 2008, the FASB issued SFAS No. 162, “The Hierarchy of Generally Accepted Accounting Principles”, which will provide framework for selecting accounting principles to be used in preparing financial statements that are presented in conformity with U.S. generally accepted accounting principles (GAAP) for nongovernmental entities. Prior to the issuance of SFAS No. 162, the GAAP hierarchy was defined in the American Institute of Certified Public Accountants’ (AICPA) Statement on Auditing Standards (SAS) No. 69, “The Meaning of Present Fairly in Conformity With Generally Accepted Accounting Principles</w:t>
      </w:r>
      <w:r>
        <w:rPr>
          <w:rFonts w:ascii="Arial" w:cs="Arial" w:eastAsia="Arial" w:hAnsi="Arial"/>
          <w:sz w:val="17"/>
          <w:szCs w:val="17"/>
          <w:i w:val="1"/>
          <w:iCs w:val="1"/>
          <w:color w:val="auto"/>
        </w:rPr>
        <w:t>”</w:t>
      </w:r>
      <w:r>
        <w:rPr>
          <w:rFonts w:ascii="Arial" w:cs="Arial" w:eastAsia="Arial" w:hAnsi="Arial"/>
          <w:sz w:val="17"/>
          <w:szCs w:val="17"/>
          <w:color w:val="auto"/>
        </w:rPr>
        <w:t>. With the issuance of SFAS No. 162, the GAAP hierarchy for nongovernmental entities will move from auditing literature to accounting literature</w:t>
      </w:r>
      <w:r>
        <w:rPr>
          <w:rFonts w:ascii="Arial" w:cs="Arial" w:eastAsia="Arial" w:hAnsi="Arial"/>
          <w:sz w:val="16"/>
          <w:szCs w:val="16"/>
          <w:color w:val="auto"/>
        </w:rPr>
        <w:t>.</w:t>
      </w:r>
      <w:r>
        <w:rPr>
          <w:rFonts w:ascii="Arial" w:cs="Arial" w:eastAsia="Arial" w:hAnsi="Arial"/>
          <w:sz w:val="17"/>
          <w:szCs w:val="17"/>
          <w:color w:val="auto"/>
        </w:rPr>
        <w:t xml:space="preserve"> SFAS No. 162 will be effective 60 days following the SEC’s approval of the Public Company Accounting Oversight Board (PCAOB) amendments to AU Section 411, “The Meaning of Present Fairly in Conformity With Generally Accepted Accounting Principles”. We are currently evaluating the potential impact of SFAS No. 162 on our financial position and results of operations.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SFAS No. 161 is effective for any reporting period (annual or quarterly interim) beginning on or after November 15, 2008. We are currently evaluating the potential impact of SFAS No. 161 on our financial position and results of operations. This statement is effective for our fourth quarter interim period ending March 28, 2009 and our 2009 annual financial statements.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2007, the FASB issued SFAS No. 141 (revised 2007), “Business Combinations” (“SFAS 141(R)”). In SFAS 141(R), the FASB retained the fundamental requirements of SFAS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We are currently evaluating the potential impact of SFAS 141(R) on our financial position and results of operations. This statement is effective for our fiscal year 2010.</w:t>
      </w:r>
    </w:p>
    <w:p>
      <w:pPr>
        <w:spacing w:after="0" w:line="18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 an amendment of ARB No. 51”,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 - as equity in the consolidated financial statements. Moreover, SFAS No. 160 eliminates the diversity that currently exists in accounting for transactions between an entity and noncontrolling interests by requiring they be treated as equity transactions. SFAS No. 160 is effective for annual periods beginning on or after December 15, 2008. We are currently evaluating the potential impact of SFAS No. 160 on our financial position and results of operations. This statement is effective for our fiscal year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 as required by SFAS Statement No. 128, “Earnings Per Share.” Basic EPS is computed by dividing net income by weighted average shares outstanding. Diluted EPS includes the effect of potentially dilutive common shares.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center"/>
              <w:ind w:right="175"/>
              <w:spacing w:after="0"/>
              <w:rPr>
                <w:sz w:val="20"/>
                <w:szCs w:val="20"/>
                <w:color w:val="auto"/>
              </w:rPr>
            </w:pPr>
            <w:r>
              <w:rPr>
                <w:rFonts w:ascii="Arial" w:cs="Arial" w:eastAsia="Arial" w:hAnsi="Arial"/>
                <w:sz w:val="18"/>
                <w:szCs w:val="18"/>
                <w:color w:val="auto"/>
                <w:w w:val="99"/>
              </w:rPr>
              <w:t>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010101"/>
            </w:tcBorders>
          </w:tcPr>
          <w:p>
            <w:pPr>
              <w:spacing w:after="0"/>
              <w:rPr>
                <w:sz w:val="10"/>
                <w:szCs w:val="10"/>
                <w:color w:val="auto"/>
              </w:rPr>
            </w:pPr>
          </w:p>
        </w:tc>
        <w:tc>
          <w:tcPr>
            <w:tcW w:w="1260" w:type="dxa"/>
            <w:vAlign w:val="bottom"/>
            <w:tcBorders>
              <w:bottom w:val="single" w:sz="8" w:color="010101"/>
            </w:tcBorders>
          </w:tcPr>
          <w:p>
            <w:pPr>
              <w:spacing w:after="0"/>
              <w:rPr>
                <w:sz w:val="10"/>
                <w:szCs w:val="10"/>
                <w:color w:val="auto"/>
              </w:rPr>
            </w:pPr>
          </w:p>
        </w:tc>
        <w:tc>
          <w:tcPr>
            <w:tcW w:w="2260" w:type="dxa"/>
            <w:vAlign w:val="bottom"/>
            <w:tcBorders>
              <w:bottom w:val="single" w:sz="8" w:color="010101"/>
            </w:tcBorders>
          </w:tcPr>
          <w:p>
            <w:pPr>
              <w:spacing w:after="0"/>
              <w:rPr>
                <w:sz w:val="10"/>
                <w:szCs w:val="10"/>
                <w:color w:val="auto"/>
              </w:rPr>
            </w:pPr>
          </w:p>
        </w:tc>
        <w:tc>
          <w:tcPr>
            <w:tcW w:w="120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1720" w:type="dxa"/>
            <w:vAlign w:val="bottom"/>
            <w:tcBorders>
              <w:bottom w:val="single" w:sz="8" w:color="010101"/>
            </w:tcBorders>
          </w:tcPr>
          <w:p>
            <w:pPr>
              <w:spacing w:after="0"/>
              <w:rPr>
                <w:sz w:val="10"/>
                <w:szCs w:val="10"/>
                <w:color w:val="auto"/>
              </w:rPr>
            </w:pPr>
          </w:p>
        </w:tc>
        <w:tc>
          <w:tcPr>
            <w:tcW w:w="3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74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23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456"/>
        </w:trPr>
        <w:tc>
          <w:tcPr>
            <w:tcW w:w="35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80" w:type="dxa"/>
            <w:vAlign w:val="bottom"/>
            <w:gridSpan w:val="7"/>
          </w:tcPr>
          <w:p>
            <w:pPr>
              <w:jc w:val="center"/>
              <w:ind w:right="2700"/>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w w:val="91"/>
              </w:rPr>
              <w:t>September 27, 2008</w:t>
            </w:r>
          </w:p>
        </w:tc>
        <w:tc>
          <w:tcPr>
            <w:tcW w:w="22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September 29, 2007</w:t>
            </w:r>
          </w:p>
        </w:tc>
        <w:tc>
          <w:tcPr>
            <w:tcW w:w="20" w:type="dxa"/>
            <w:vAlign w:val="bottom"/>
          </w:tcPr>
          <w:p>
            <w:pPr>
              <w:spacing w:after="0"/>
              <w:rPr>
                <w:sz w:val="12"/>
                <w:szCs w:val="12"/>
                <w:color w:val="auto"/>
              </w:rPr>
            </w:pPr>
          </w:p>
        </w:tc>
        <w:tc>
          <w:tcPr>
            <w:tcW w:w="2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gridSpan w:val="4"/>
          </w:tcPr>
          <w:p>
            <w:pPr>
              <w:jc w:val="center"/>
              <w:ind w:right="152"/>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20" w:type="dxa"/>
            <w:vAlign w:val="bottom"/>
          </w:tcPr>
          <w:p>
            <w:pPr>
              <w:spacing w:after="0"/>
              <w:rPr>
                <w:sz w:val="12"/>
                <w:szCs w:val="12"/>
                <w:color w:val="auto"/>
              </w:rPr>
            </w:pPr>
          </w:p>
        </w:tc>
        <w:tc>
          <w:tcPr>
            <w:tcW w:w="2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14,807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11,167</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25,038</w:t>
            </w:r>
          </w:p>
        </w:tc>
        <w:tc>
          <w:tcPr>
            <w:tcW w:w="2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25,609</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0.59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11,167</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25,038</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25,609</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Dilutive effect of stock options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Diluted weighted average shares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25,917</w:t>
            </w:r>
          </w:p>
        </w:tc>
        <w:tc>
          <w:tcPr>
            <w:tcW w:w="2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26,461</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0.57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80" w:type="dxa"/>
            <w:vAlign w:val="bottom"/>
            <w:gridSpan w:val="7"/>
          </w:tcPr>
          <w:p>
            <w:pPr>
              <w:jc w:val="center"/>
              <w:ind w:right="2700"/>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w w:val="91"/>
              </w:rPr>
              <w:t>September 27, 2008</w:t>
            </w:r>
          </w:p>
        </w:tc>
        <w:tc>
          <w:tcPr>
            <w:tcW w:w="22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September 29, 2007</w:t>
            </w:r>
          </w:p>
        </w:tc>
        <w:tc>
          <w:tcPr>
            <w:tcW w:w="24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gridSpan w:val="4"/>
          </w:tcPr>
          <w:p>
            <w:pPr>
              <w:jc w:val="center"/>
              <w:ind w:right="152"/>
              <w:spacing w:after="0" w:line="142" w:lineRule="exact"/>
              <w:rPr>
                <w:sz w:val="20"/>
                <w:szCs w:val="20"/>
                <w:color w:val="auto"/>
              </w:rPr>
            </w:pPr>
            <w:r>
              <w:rPr>
                <w:rFonts w:ascii="Arial" w:cs="Arial" w:eastAsia="Arial" w:hAnsi="Arial"/>
                <w:sz w:val="14"/>
                <w:szCs w:val="14"/>
                <w:b w:val="1"/>
                <w:bCs w:val="1"/>
                <w:color w:val="auto"/>
                <w:w w:val="90"/>
              </w:rPr>
              <w:t>(in thousands, except per share amounts )</w:t>
            </w:r>
          </w:p>
        </w:tc>
        <w:tc>
          <w:tcPr>
            <w:tcW w:w="24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29,148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23,844</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25,323</w:t>
            </w:r>
          </w:p>
        </w:tc>
        <w:tc>
          <w:tcPr>
            <w:tcW w:w="2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26,072</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29,148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23,844</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25,323</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26,072</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Dilutive effect of stock options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Diluted weighted average shares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26,218</w:t>
            </w:r>
          </w:p>
        </w:tc>
        <w:tc>
          <w:tcPr>
            <w:tcW w:w="2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26,934</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-5747385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-5747385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Stock-based compensation expense of $4.5 million and $4.6 million was recognized for the six months ended September 27, 2008 and September 29, 2007, respectively. The related income tax benefit recognized was $1.3 million for each of the six month periods ended September 27, 2008 and September 29, 2007, respectively. We recognize stock-based compensation on a straight line basis.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28" w:right="19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328" w:right="199" w:bottom="0" w:gutter="0" w:footer="0" w:header="0"/>
          <w:type w:val="continuous"/>
        </w:sectPr>
      </w:pPr>
    </w:p>
    <w:bookmarkStart w:id="6" w:name="page7"/>
    <w:bookmarkEnd w:id="6"/>
    <w:p>
      <w:pPr>
        <w:spacing w:after="0" w:line="5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For a more detailed description of our stock-based compensation plans, see Note 11—Capital Stock to the Company’s consolidated financial statements included in our Annual Report on Form 10-K for the year ended March 29, 2008. Our stock-based compensation plans currently consist of stock options, restricted stock awards, restricted stock units and an employee stock purchase plan. Options become exercisable in the manner specified by the Compensation Committee of our Board of Directors. With the exception of one performance based restricted stock award granted in the first quarter of this year, all options, restricted stock awards and restricted stock units granted to employees in the six months ended September 27, 2008 vest over a four year period of time and the options expire not more than 7 years from the date of grant.</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flows relating to the benefits of tax deductions in excess of compensation cost recognized (in our reported or proforma results) are reported as a financing cash flow, rather than as an operating cash flow. This excess tax benefit was $4.1 million and $0.2 million for the three months ended September 27, 2008 and September 29, 2007, respectively, and $5.4 million and $0.8 million for the six months ended September 27, 2008 and September 29, 2007,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stock options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Exercise Price</w:t>
            </w:r>
          </w:p>
        </w:tc>
        <w:tc>
          <w:tcPr>
            <w:tcW w:w="2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58"/>
              <w:spacing w:after="0" w:line="142" w:lineRule="exact"/>
              <w:rPr>
                <w:sz w:val="20"/>
                <w:szCs w:val="20"/>
                <w:color w:val="auto"/>
              </w:rPr>
            </w:pPr>
            <w:r>
              <w:rPr>
                <w:rFonts w:ascii="Arial" w:cs="Arial" w:eastAsia="Arial" w:hAnsi="Arial"/>
                <w:sz w:val="14"/>
                <w:szCs w:val="14"/>
                <w:b w:val="1"/>
                <w:bCs w:val="1"/>
                <w:color w:val="auto"/>
                <w:w w:val="91"/>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29, 2008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3,657,566</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(180,095)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26.52</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(40,030)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28, 2008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3,438,283</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(480,045)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26.69</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27, 2008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2,993,787</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27, 2008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2,098,037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to Vest at September 27, 2008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2,797,723</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total intrinsic value of options exercised during the three month periods ended September 27, 2008 and September 29, 2007, was $16.4 million and $1.3 million, respectively, and $22.6 million and $6.8 million for the six month periods ended September 27, 2008 and September 29, 2007, respectively.</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September 27, 2008 and September 29, 2007, there was $11.0 million and $15.0 million, respectively, of total unrecognized compensation cost related to non vested stock options. That cost is expected to be recognized over a weighted average period of 1.9 years and 2.2 years. The total fair value of shares fully vested during the six months ended September 27, 2008 and September 29, 2007 was $26.6 million $25.5 million, respectively.</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weighted average fair value for our options granted in the first six months of fiscal year 2009 and 2008 was $18.07 and $17.78, respectively. 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historical exercise patterns, the contractual term of the option and the vesting period. The assumptions utilized for option grants during the periods presented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3900" w:type="dxa"/>
            <w:vAlign w:val="bottom"/>
            <w:gridSpan w:val="4"/>
          </w:tcPr>
          <w:p>
            <w:pPr>
              <w:jc w:val="right"/>
              <w:ind w:right="148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6000" w:type="dxa"/>
            <w:vAlign w:val="bottom"/>
          </w:tcPr>
          <w:p>
            <w:pPr>
              <w:spacing w:after="0"/>
              <w:rPr>
                <w:sz w:val="12"/>
                <w:szCs w:val="12"/>
                <w:color w:val="auto"/>
              </w:rPr>
            </w:pPr>
          </w:p>
        </w:tc>
        <w:tc>
          <w:tcPr>
            <w:tcW w:w="20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September 27, 2008</w:t>
            </w:r>
          </w:p>
        </w:tc>
        <w:tc>
          <w:tcPr>
            <w:tcW w:w="17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September 29, 2007</w:t>
            </w:r>
          </w:p>
        </w:tc>
        <w:tc>
          <w:tcPr>
            <w:tcW w:w="200" w:type="dxa"/>
            <w:vAlign w:val="bottom"/>
          </w:tcPr>
          <w:p>
            <w:pPr>
              <w:spacing w:after="0"/>
              <w:rPr>
                <w:sz w:val="12"/>
                <w:szCs w:val="12"/>
                <w:color w:val="auto"/>
              </w:rPr>
            </w:pP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Black-Scholes assumptions (weighted average):</w:t>
            </w:r>
          </w:p>
        </w:tc>
        <w:tc>
          <w:tcPr>
            <w:tcW w:w="1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29.07%</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30.18%</w:t>
            </w: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September 27, 2008 and September 29, 2007, there was $0.4 and $0.3 million, respectively, of total unrecognized compensation cost related to non vested restricted stock awards. That cost was expected to be recognized over a weighted average period of 2.17 and 3.59 years, respectively. The total fair value of restricted stock awards vested during the six months ended September 27, 2008 was $0.1 million and $0.0 million during the six months ended September 29,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awards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 Price at</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29, 2008</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341" w:right="23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4093845</wp:posOffset>
            </wp:positionH>
            <wp:positionV relativeFrom="page">
              <wp:posOffset>88900</wp:posOffset>
            </wp:positionV>
            <wp:extent cx="1792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3,456</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Released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Terminated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Nonvested at June 28, 2008</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10,956</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Terminated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27, 2008</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10,956</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September 27, 2008 and September 29, 2007, there was $2.1 and $0.1 million, respectively, of total unrecognized compensation cost related to non vested restricted stock units. That cost was expected to be recognized over a weighted average period of 3.0 and 2.02 years, respectively. The total fair value of shares fully vested was $0.1 million and $0.0 million for the six months ended September 27, 2008 and September 29, 2007, respectively.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units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5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Share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29, 2008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28, 2008</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(2,225)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27, 2008</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September 27, 2008 and September 29, 2007, there was $0.3 and $0.1 million, respectively, of total unrecognized compensation expense, net of estimated forfeitures, related to the Employee Stock Purchase Plan (“ESPP”) shares. That cost was expected to be recognized over the remainder of fiscal year 2009 and fiscal year 2008,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September 27, 2008 and September 29, 2007, there were 31,474 and 28,968 shares purchased under the ESPP,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were purchased at $44.353 and $38.6325 per share under the ESPP.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SHIPPING AND HANDLING COSTS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Shipping and handling costs are included in cost of goods sold with the exception of $5.9 million and $4.4 million for the six months ended September 27, 2008 and September 29, 2007, respectively,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FOREIGN CURRENCY</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enter into forward exchange contracts to hedge the probable cash flows from forecasted inter-company foreign currency denominated revenues, principally Japanese Yen and Euro. The purpose of our hedging strategy is to lock in foreign exchange rates for 12 months to minimize, for this period of time, the unforeseen impact on our results of operations of fluctuations in foreign exchange rates. We also enter into forward contracts that settle within 35 days to hedge certain inter-company receivables denominated in foreign currencies. These derivative financial instruments are not used for trading purposes. The forward exchange contracts are recorded at fair value and are included in other current assets or other current liabilities on our consolidated balance sheets. The gains or losses on the forward exchange contracts designated as hedges are recorded in net revenues on our consolidated statements of income when the underlying hedge transaction affects earnings. The cash flows related to the gains and losses on these foreign currency hedges are classified in the consolidated statements of cash flows as part of cash flows from operating activities. In the event the hedged forecasted transaction does not occur, or it becomes probable that it will not occur, the Company would reclassify any gain or loss on the related cash flow hedge from</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comprehensive income to earnings at that time. The ineffective portion of a derivative’s change in fair value is recognized currently in other income, net in our consolidated statements of income.</w:t>
      </w:r>
    </w:p>
    <w:p>
      <w:pPr>
        <w:sectPr>
          <w:pgSz w:w="11900" w:h="16838" w:orient="portrait"/>
          <w:cols w:equalWidth="0" w:num="1">
            <w:col w:w="11360"/>
          </w:cols>
          <w:pgMar w:left="240" w:top="369" w:right="29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7.  PRODUCT WARRANTIES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ectPr>
          <w:pgSz w:w="11900" w:h="16838" w:orient="portrait"/>
          <w:cols w:equalWidth="0" w:num="1">
            <w:col w:w="11320"/>
          </w:cols>
          <w:pgMar w:left="24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Warranty accrual as of the beginning of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Warranty Spending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Warranty accrual as of the end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Warranty accrual as of the beginning of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Warranty Spending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Warranty accrual as of the end of the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349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260"/>
        <w:spacing w:after="0"/>
        <w:tabs>
          <w:tab w:leader="none" w:pos="2220" w:val="left"/>
        </w:tabs>
        <w:rPr>
          <w:sz w:val="20"/>
          <w:szCs w:val="20"/>
          <w:color w:val="auto"/>
        </w:rPr>
      </w:pPr>
      <w:r>
        <w:rPr>
          <w:rFonts w:ascii="Arial" w:cs="Arial" w:eastAsia="Arial" w:hAnsi="Arial"/>
          <w:sz w:val="14"/>
          <w:szCs w:val="14"/>
          <w:b w:val="1"/>
          <w:bCs w:val="1"/>
          <w:color w:val="auto"/>
        </w:rPr>
        <w:t>September 27, 2008</w:t>
      </w:r>
      <w:r>
        <w:rPr>
          <w:sz w:val="20"/>
          <w:szCs w:val="20"/>
          <w:color w:val="auto"/>
        </w:rPr>
        <w:tab/>
      </w:r>
      <w:r>
        <w:rPr>
          <w:rFonts w:ascii="Arial" w:cs="Arial" w:eastAsia="Arial" w:hAnsi="Arial"/>
          <w:sz w:val="12"/>
          <w:szCs w:val="12"/>
          <w:b w:val="1"/>
          <w:bCs w:val="1"/>
          <w:color w:val="auto"/>
        </w:rPr>
        <w:t>September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2349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960</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(506)</w:t>
            </w:r>
          </w:p>
        </w:tc>
      </w:tr>
      <w:tr>
        <w:trPr>
          <w:trHeight w:val="20"/>
        </w:trPr>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4"/>
                <w:szCs w:val="24"/>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358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rPr>
              <w:t>For the six months ended</w:t>
            </w:r>
          </w:p>
        </w:tc>
      </w:tr>
      <w:tr>
        <w:trPr>
          <w:trHeight w:val="142"/>
        </w:trPr>
        <w:tc>
          <w:tcPr>
            <w:tcW w:w="18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6"/>
              </w:rPr>
              <w:t>September 27, 2008</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September 29, 2007</w:t>
            </w:r>
          </w:p>
        </w:tc>
        <w:tc>
          <w:tcPr>
            <w:tcW w:w="60" w:type="dxa"/>
            <w:vAlign w:val="bottom"/>
            <w:gridSpan w:val="2"/>
          </w:tcPr>
          <w:p>
            <w:pPr>
              <w:spacing w:after="0"/>
              <w:rPr>
                <w:sz w:val="12"/>
                <w:szCs w:val="12"/>
                <w:color w:val="auto"/>
              </w:rPr>
            </w:pPr>
          </w:p>
        </w:tc>
      </w:tr>
      <w:tr>
        <w:trPr>
          <w:trHeight w:val="180"/>
        </w:trPr>
        <w:tc>
          <w:tcPr>
            <w:tcW w:w="180" w:type="dxa"/>
            <w:vAlign w:val="bottom"/>
          </w:tcPr>
          <w:p>
            <w:pPr>
              <w:spacing w:after="0"/>
              <w:rPr>
                <w:sz w:val="15"/>
                <w:szCs w:val="15"/>
                <w:color w:val="auto"/>
              </w:rPr>
            </w:pPr>
          </w:p>
        </w:tc>
        <w:tc>
          <w:tcPr>
            <w:tcW w:w="3520" w:type="dxa"/>
            <w:vAlign w:val="bottom"/>
            <w:gridSpan w:val="5"/>
          </w:tcPr>
          <w:p>
            <w:pPr>
              <w:jc w:val="right"/>
              <w:ind w:right="1332"/>
              <w:spacing w:after="0"/>
              <w:rPr>
                <w:sz w:val="20"/>
                <w:szCs w:val="20"/>
                <w:color w:val="auto"/>
              </w:rPr>
            </w:pPr>
            <w:r>
              <w:rPr>
                <w:rFonts w:ascii="Arial" w:cs="Arial" w:eastAsia="Arial" w:hAnsi="Arial"/>
                <w:sz w:val="14"/>
                <w:szCs w:val="14"/>
                <w:b w:val="1"/>
                <w:bCs w:val="1"/>
                <w:color w:val="auto"/>
              </w:rPr>
              <w:t>(in thousands)</w:t>
            </w:r>
          </w:p>
        </w:tc>
        <w:tc>
          <w:tcPr>
            <w:tcW w:w="60" w:type="dxa"/>
            <w:vAlign w:val="bottom"/>
            <w:gridSpan w:val="2"/>
          </w:tcPr>
          <w:p>
            <w:pPr>
              <w:spacing w:after="0"/>
              <w:rPr>
                <w:sz w:val="15"/>
                <w:szCs w:val="15"/>
                <w:color w:val="auto"/>
              </w:rPr>
            </w:pPr>
          </w:p>
        </w:tc>
      </w:tr>
      <w:tr>
        <w:trPr>
          <w:trHeight w:val="327"/>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929</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4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(988)</w:t>
            </w:r>
          </w:p>
        </w:tc>
      </w:tr>
      <w:tr>
        <w:trPr>
          <w:trHeight w:val="20"/>
        </w:trPr>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4"/>
                <w:szCs w:val="24"/>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24"/>
                <w:szCs w:val="24"/>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-2520950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-2245995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-1971675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-1689100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-994410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-719455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-445135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-162560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840" w:space="720"/>
            <w:col w:w="3760"/>
          </w:cols>
          <w:pgMar w:left="240" w:top="121" w:right="339" w:bottom="0" w:gutter="0" w:footer="0" w:header="0"/>
          <w:type w:val="continuous"/>
        </w:sectPr>
      </w:pPr>
    </w:p>
    <w:p>
      <w:pPr>
        <w:spacing w:after="0" w:line="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For us, all other non-owner changes are primarily foreign currency translation, the change in our net minimum pension liability, and the changes in fair value of the effective portion of our outstanding cash flow hedge contracts.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gridSpan w:val="7"/>
          </w:tcPr>
          <w:p>
            <w:pPr>
              <w:jc w:val="right"/>
              <w:ind w:right="11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6"/>
              </w:rPr>
              <w:t>September 27, 2008</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September 29, 2007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(4,153)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3,475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Unrealized gain/(loss) on cash flow hedges, net of tax</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6"/>
              </w:rPr>
              <w:t>September 27, 2008</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September 29, 2007</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(5,655)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3,772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Unrealized gain/(loss) on cash flow hedges, net of tax</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4,690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ectPr>
          <w:pgSz w:w="11900" w:h="16838" w:orient="portrait"/>
          <w:cols w:equalWidth="0" w:num="1">
            <w:col w:w="11320"/>
          </w:cols>
          <w:pgMar w:left="240" w:top="121" w:right="339" w:bottom="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Work-in-process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Finished goods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September 27, 2008</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March 29, 2008</w:t>
            </w:r>
          </w:p>
        </w:tc>
      </w:tr>
      <w:tr>
        <w:trPr>
          <w:trHeight w:val="128"/>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gridSpan w:val="4"/>
          </w:tcPr>
          <w:p>
            <w:pPr>
              <w:jc w:val="right"/>
              <w:ind w:right="65"/>
              <w:spacing w:after="0" w:line="128" w:lineRule="exact"/>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1"/>
                <w:szCs w:val="11"/>
                <w:color w:val="auto"/>
              </w:rPr>
            </w:pPr>
          </w:p>
        </w:tc>
      </w:tr>
      <w:tr>
        <w:trPr>
          <w:trHeight w:val="216"/>
        </w:trPr>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20,663</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16,107</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16,387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14,430</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36,131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34,851</w:t>
            </w:r>
          </w:p>
        </w:tc>
      </w:tr>
      <w:tr>
        <w:trPr>
          <w:trHeight w:val="210"/>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73,181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65,388</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-582295</wp:posOffset>
            </wp:positionV>
            <wp:extent cx="530860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08600" cy="1371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-307975</wp:posOffset>
            </wp:positionV>
            <wp:extent cx="530860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sectPr>
          <w:pgSz w:w="11900" w:h="16838" w:orient="portrait"/>
          <w:cols w:equalWidth="0" w:num="2">
            <w:col w:w="3120" w:space="720"/>
            <w:col w:w="7480"/>
          </w:cols>
          <w:pgMar w:left="240" w:top="121" w:right="339" w:bottom="0" w:gutter="0" w:footer="0" w:header="0"/>
          <w:type w:val="continuous"/>
        </w:sectPr>
      </w:pPr>
    </w:p>
    <w:bookmarkStart w:id="9" w:name="page10"/>
    <w:bookmarkEnd w:id="9"/>
    <w:p>
      <w:pPr>
        <w:spacing w:after="0" w:line="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6360" w:firstLine="8"/>
        <w:spacing w:after="0" w:line="503" w:lineRule="auto"/>
        <w:tabs>
          <w:tab w:leader="none" w:pos="40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our goodwill during the six months ended September 27, 2008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March 29, 2008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Medicell (a)</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Haemoscope (b)</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change in rates used for translation</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Carrying amount as of September 27, 2008</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40" w:hanging="608"/>
        <w:spacing w:after="0" w:line="277"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full description of the acquisition of Medicell Ltd., which occurred on April 4, 2008, is included in Foot Note #10, Goodwill and Other Intangibles, of our Form 10-Q for the quarter ended June 28, 2008.</w:t>
      </w:r>
    </w:p>
    <w:p>
      <w:pPr>
        <w:spacing w:after="0" w:line="170" w:lineRule="exact"/>
        <w:rPr>
          <w:rFonts w:ascii="Arial" w:cs="Arial" w:eastAsia="Arial" w:hAnsi="Arial"/>
          <w:sz w:val="18"/>
          <w:szCs w:val="18"/>
          <w:color w:val="auto"/>
        </w:rPr>
      </w:pPr>
    </w:p>
    <w:p>
      <w:pPr>
        <w:ind w:left="940" w:right="60" w:hanging="608"/>
        <w:spacing w:after="0" w:line="277"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Foot Note #3, Acquisitions, in our fiscal year 2008 Form 10-K for a full description of the acquisition of Haemoscope Corporation’s TEG® Thrombelastograph® Hemostasis Analyzer business, which occurred on November 20, 2007.</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 of September 27,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Gross Carrying Amount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Accumulated</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(in thousands)</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Useful Life (in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Intangibles</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10,893</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contracts and related relationships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7,056</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22,801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 Life Intangibles Trade name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87,896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22,801</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of March 29, 2008</w:t>
            </w: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6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Gross Carrying Amount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Accumulated</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(in thousands)</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Useful Life (in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Intangibles</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8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4,073</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13,638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28,327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10,013</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contracts and related relationships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5,439</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 Life Intangibles Trade name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0840"/>
          </w:cols>
          <w:pgMar w:left="240" w:top="341" w:right="819" w:bottom="0" w:gutter="0" w:footer="0" w:header="0"/>
        </w:sectPr>
      </w:pPr>
    </w:p>
    <w:bookmarkStart w:id="10" w:name="page11"/>
    <w:bookmarkEnd w:id="10"/>
    <w:p>
      <w:pPr>
        <w:spacing w:after="0"/>
        <w:tabs>
          <w:tab w:leader="none" w:pos="4480" w:val="left"/>
          <w:tab w:leader="none" w:pos="5820" w:val="left"/>
          <w:tab w:leader="none" w:pos="6600" w:val="left"/>
          <w:tab w:leader="none" w:pos="7920" w:val="left"/>
        </w:tabs>
        <w:rPr>
          <w:sz w:val="20"/>
          <w:szCs w:val="20"/>
          <w:color w:val="auto"/>
        </w:rPr>
      </w:pPr>
      <w:r>
        <w:rPr>
          <w:rFonts w:ascii="Arial" w:cs="Arial" w:eastAsia="Arial" w:hAnsi="Arial"/>
          <w:sz w:val="18"/>
          <w:szCs w:val="18"/>
          <w:color w:val="auto"/>
        </w:rPr>
        <w:t>Total Intangibles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84,154</w:t>
        <w:tab/>
        <w:t>$</w:t>
      </w:r>
      <w:r>
        <w:rPr>
          <w:sz w:val="20"/>
          <w:szCs w:val="20"/>
          <w:color w:val="auto"/>
        </w:rPr>
        <w:tab/>
      </w:r>
      <w:r>
        <w:rPr>
          <w:rFonts w:ascii="Arial" w:cs="Arial" w:eastAsia="Arial" w:hAnsi="Arial"/>
          <w:sz w:val="16"/>
          <w:szCs w:val="16"/>
          <w:color w:val="auto"/>
        </w:rPr>
        <w:t>19,821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5767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57670" cy="163195"/>
                    </a:xfrm>
                    <a:prstGeom prst="rect">
                      <a:avLst/>
                    </a:prstGeom>
                    <a:noFill/>
                  </pic:spPr>
                </pic:pic>
              </a:graphicData>
            </a:graphic>
          </wp:anchor>
        </w:drawing>
      </w:r>
    </w:p>
    <w:p>
      <w:pPr>
        <w:spacing w:after="0" w:line="2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changes to the net carrying value of our intangible assets from March 29, 2008 to September 27, 2008, reflect the capitalization of software costs associated with our devices and software products (see Footnote #17), amortization expense and the effect of exchange rate changes in the translation of our intangible assets held by our international subsidiaries.</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Amortization expense for amortized other intangible assets was $1.5 million and $1.0 million for the three months ended September 27, 2008 and September 29, 2007, respectively and $3.0 million and $1.9 million for the six months ended September 27, 2008 and September 29, 2007, respectively. Annual amortization expense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expected to approximate $6.0 million for fiscal year 2009, $6.4 million for fiscal year 2010, $6.4 million for fiscal year 2011, $6.0 million for fiscal year 2012, $5.9 million for fiscal year 2013, and $6.4 million for fiscal year 2014.</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FAIR VALUE MEASUREMENT</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We adopted Financial Accounting Standards Board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 of March 30, 2008. Statement No. 157 defines fair value, establishes a framework for measuring fair value in accordance with U.S. GAAP, and expands disclosures about fair value measurements. Statement No. 157 does not require any new fair value measurements; rather, it applies to other accounting pronouncements that require or permit fair value measurements. In February 2008, the FASB released Staff Position No.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which delays the effective date of Statement No. 157 for all nonfinancial assets and nonfinancial liabilities, except for those that are recognized or disclosed at fair value in the financial statements on a recurring basis. In accordance with Staff Position No. 157-2, we have not applied the provisions of Statement No. 157 to the following nonfinancial assets and nonfinancial liabilities:</w:t>
      </w:r>
    </w:p>
    <w:p>
      <w:pPr>
        <w:spacing w:after="0" w:line="189" w:lineRule="exact"/>
        <w:rPr>
          <w:sz w:val="20"/>
          <w:szCs w:val="20"/>
          <w:color w:val="auto"/>
        </w:rPr>
      </w:pPr>
    </w:p>
    <w:p>
      <w:pPr>
        <w:ind w:left="660" w:right="160" w:hanging="328"/>
        <w:spacing w:after="0" w:line="258"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Nonfinancial assets and nonfinancial liabilities initially measured at fair value in a business combination or other new basis event, but not measured at fair value in subsequent reporting periods;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Reporting units and nonfinancial assets and nonfinancial liabilities measured at fair value for our goodwill impairment test in accordance with FASB Statement No. 142, </w:t>
      </w:r>
      <w:r>
        <w:rPr>
          <w:rFonts w:ascii="Arial" w:cs="Arial" w:eastAsia="Arial" w:hAnsi="Arial"/>
          <w:sz w:val="18"/>
          <w:szCs w:val="18"/>
          <w:i w:val="1"/>
          <w:iCs w:val="1"/>
          <w:color w:val="auto"/>
        </w:rPr>
        <w:t>Goodwill and Other Intangible Assets;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Indefinite-lived intangible assets measured at fair value for impairment assessment in accordance with Statement No. 142;</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Nonfinancial long-lived assets or asset groups measured at fair value for impairment assessment or disposal under FASB Statement No. 144, </w:t>
      </w: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and</w:t>
      </w:r>
    </w:p>
    <w:p>
      <w:pPr>
        <w:ind w:left="660" w:right="420" w:hanging="328"/>
        <w:spacing w:after="0" w:line="261"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Nonfinancial liabilities associated with exit or disposal activities initially measured at fair value under FASB Statement No. 146,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Costs Associated with Exit or Disposal Activities.</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will be required to apply the provisions of Statement No. 157 to these nonfinancial assets and nonfinancial liabilities as of March 29, 2009 and are currently evaluating the impact of the application of Statement No. 157 as it pertains to these items. The application of Statement No. 157 for financial assets and financial liabilities did not have a material impact on our financial position, results of operations or cash flows.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and foreign currency derivative contracts. Statement No. 157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Statement No. 157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1"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60" w:hanging="328"/>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recognize all derivative financial instruments in our consolidated financial statements at fair value in accordance with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We determine the fair value of these instruments using the framework prescribed by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No. 157 by considering the estimated amount we would receive or pay to terminate these agreements at the reporting date and by taking into account current interest rates, the creditworthiness of the counterparty for assets, and our creditworthiness for liabilities. We use a discounted cash flow model to value these forward foreign exchange contracts. The most significant input to this model is the current foreign exchange spot rate. We have classified our derivative assets and liabilities within Level 2 of the fair value hierarchy because these observable inputs are available for substantially the full term of our derivative instruments.</w:t>
      </w:r>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September 27,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Quoted</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Market Prices</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Assets</w:t>
            </w: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84,214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84,214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84,214</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86,086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assets or liabilities measured at fair value using significant unobservable inputs (Level 3) during the six months ended September 27,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159</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which allows an entity to elect to record financial assets and financial liabilities at fair value upon their initial recognition on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contract-by-contract basis. We adopted Statement No. 159 as of March 30, 2008 and did not elect the fair value option for our eligible financial assets and financial liabilities.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reported tax rate includes two principal components: an annual effective tax rate and discrete items that are recorded in the quarter that an event occurs.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Events or items that give rise to discrete recognition include finalizing audit examinations for open tax years and a statute of limitation’s expiration.</w:t>
      </w:r>
    </w:p>
    <w:p>
      <w:pPr>
        <w:spacing w:after="0" w:line="22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reported tax rates were 35.1% and 32.4% for the three and six month periods ended September 27, 2008. The reported tax rates were 32.8% and 32.0% for the three and six month period ended September 29, 2007. The reported tax rate for the six month periods ended September 27, 2008 and September 29, 2007 included discrete tax benefits or $1.1 million and $0.9 million, respectively, pertaining to the reversal of reserves for uncertain tax benefits pertaining to transfer pricing as a result of the expiration of the statute of limitations in Japan.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and six months ended September 27, 2008, the reported tax rate includes a 35.1% annual effective tax rate. The annual effective tax rate reflects the expiration of federal research and development credits and a shift away from investing in tax-exempt interest bearing assets. On October 3, 2008, a law was enacted that reinstated the federal research and development credit that will provide a beneficial impact on the rate to be reflected in the third quarter of fiscal year 2009.</w:t>
      </w:r>
    </w:p>
    <w:p>
      <w:pPr>
        <w:spacing w:after="0" w:line="18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As of March 29, 2008, our unrecognized tax benefits totaled approximately $5.2 million which, if recognized, would favorably affect our effective tax rate in future periods. Each year the statute of limitations for income tax returns filed in various jurisdictions closes, sometimes without adjustments. In addition to the expiration of the statute of limitations in Japan during the six months ended September 27, 2008, approximately $1.1 million of unrecognized tax benefits may be recognized through the end of the fiscal year. Total unrecognized tax benefits on September 27, 2008 were $4.3 million.</w:t>
      </w:r>
    </w:p>
    <w:p>
      <w:pPr>
        <w:spacing w:after="0" w:line="15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historic practice has been and continues to be to recognize interest and penalties related to federal, state, and foreign income tax matters in income tax expense. Approximately $0.9 million and $0.8 million are accrued for interest at September 27, 2008 and March 29, 2008, respectively.</w:t>
      </w:r>
    </w:p>
    <w:p>
      <w:pPr>
        <w:spacing w:after="0" w:line="14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6350</wp:posOffset>
            </wp:positionV>
            <wp:extent cx="26416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7180"/>
        <w:spacing w:after="0"/>
        <w:tabs>
          <w:tab w:leader="none" w:pos="9380" w:val="left"/>
        </w:tabs>
        <w:rPr>
          <w:sz w:val="20"/>
          <w:szCs w:val="20"/>
          <w:color w:val="auto"/>
        </w:rPr>
      </w:pPr>
      <w:r>
        <w:rPr>
          <w:rFonts w:ascii="Arial" w:cs="Arial" w:eastAsia="Arial" w:hAnsi="Arial"/>
          <w:sz w:val="14"/>
          <w:szCs w:val="14"/>
          <w:b w:val="1"/>
          <w:bCs w:val="1"/>
          <w:color w:val="auto"/>
        </w:rPr>
        <w:t>September 27, 2008</w:t>
      </w:r>
      <w:r>
        <w:rPr>
          <w:sz w:val="20"/>
          <w:szCs w:val="20"/>
          <w:color w:val="auto"/>
        </w:rPr>
        <w:tab/>
      </w:r>
      <w:r>
        <w:rPr>
          <w:rFonts w:ascii="Arial" w:cs="Arial" w:eastAsia="Arial" w:hAnsi="Arial"/>
          <w:sz w:val="12"/>
          <w:szCs w:val="12"/>
          <w:b w:val="1"/>
          <w:bCs w:val="1"/>
          <w:color w:val="auto"/>
        </w:rPr>
        <w:t>September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-3175</wp:posOffset>
            </wp:positionV>
            <wp:extent cx="26416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line="12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40" w:type="dxa"/>
            <w:vAlign w:val="bottom"/>
            <w:gridSpan w:val="3"/>
          </w:tcPr>
          <w:p>
            <w:pPr>
              <w:jc w:val="right"/>
              <w:ind w:right="1234"/>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0" w:type="dxa"/>
            <w:vAlign w:val="bottom"/>
            <w:shd w:val="clear" w:color="auto" w:fill="CCEEFF"/>
          </w:tcPr>
          <w:p>
            <w:pPr>
              <w:jc w:val="right"/>
              <w:ind w:right="144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ind w:right="145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w:t>
            </w:r>
          </w:p>
        </w:tc>
        <w:tc>
          <w:tcPr>
            <w:tcW w:w="12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16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1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6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02"/>
        </w:trPr>
        <w:tc>
          <w:tcPr>
            <w:tcW w:w="6560" w:type="dxa"/>
            <w:vAlign w:val="bottom"/>
          </w:tcPr>
          <w:p>
            <w:pPr>
              <w:spacing w:after="0" w:line="201" w:lineRule="exact"/>
              <w:rPr>
                <w:sz w:val="20"/>
                <w:szCs w:val="20"/>
                <w:color w:val="auto"/>
              </w:rPr>
            </w:pPr>
            <w:r>
              <w:rPr>
                <w:rFonts w:ascii="Arial" w:cs="Arial" w:eastAsia="Arial" w:hAnsi="Arial"/>
                <w:sz w:val="18"/>
                <w:szCs w:val="18"/>
                <w:color w:val="auto"/>
                <w:w w:val="96"/>
              </w:rPr>
              <w:t>Amortization of unrecognized prior service cost, unrecognized gain and unrecognized</w:t>
            </w: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initial obligation</w:t>
            </w:r>
          </w:p>
        </w:tc>
        <w:tc>
          <w:tcPr>
            <w:tcW w:w="16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0"/>
        </w:trPr>
        <w:tc>
          <w:tcPr>
            <w:tcW w:w="65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00" w:type="dxa"/>
            <w:vAlign w:val="bottom"/>
          </w:tcPr>
          <w:p>
            <w:pPr>
              <w:jc w:val="right"/>
              <w:ind w:right="144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1640" w:type="dxa"/>
            <w:vAlign w:val="bottom"/>
          </w:tcPr>
          <w:p>
            <w:pPr>
              <w:jc w:val="right"/>
              <w:ind w:right="145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174</w:t>
            </w:r>
          </w:p>
        </w:tc>
        <w:tc>
          <w:tcPr>
            <w:tcW w:w="12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6560" w:type="dxa"/>
            <w:vAlign w:val="bottom"/>
          </w:tcPr>
          <w:p>
            <w:pPr>
              <w:spacing w:after="0"/>
              <w:rPr>
                <w:sz w:val="24"/>
                <w:szCs w:val="24"/>
                <w:color w:val="auto"/>
              </w:rPr>
            </w:pPr>
          </w:p>
        </w:tc>
        <w:tc>
          <w:tcPr>
            <w:tcW w:w="384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For the six months ended</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560" w:type="dxa"/>
            <w:vAlign w:val="bottom"/>
          </w:tcPr>
          <w:p>
            <w:pPr>
              <w:spacing w:after="0"/>
              <w:rPr>
                <w:sz w:val="12"/>
                <w:szCs w:val="12"/>
                <w:color w:val="auto"/>
              </w:rPr>
            </w:pPr>
          </w:p>
        </w:tc>
        <w:tc>
          <w:tcPr>
            <w:tcW w:w="1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September 27, 2008</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September 29, 2007</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40" w:type="dxa"/>
            <w:vAlign w:val="bottom"/>
            <w:gridSpan w:val="3"/>
          </w:tcPr>
          <w:p>
            <w:pPr>
              <w:jc w:val="right"/>
              <w:ind w:right="123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0" w:type="dxa"/>
            <w:vAlign w:val="bottom"/>
            <w:shd w:val="clear" w:color="auto" w:fill="CCEEFF"/>
          </w:tcPr>
          <w:p>
            <w:pPr>
              <w:jc w:val="right"/>
              <w:ind w:right="144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640" w:type="dxa"/>
            <w:vAlign w:val="bottom"/>
            <w:shd w:val="clear" w:color="auto" w:fill="CCEEFF"/>
          </w:tcPr>
          <w:p>
            <w:pPr>
              <w:jc w:val="right"/>
              <w:ind w:right="145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286</w:t>
            </w:r>
          </w:p>
        </w:tc>
        <w:tc>
          <w:tcPr>
            <w:tcW w:w="12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16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1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6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02"/>
        </w:trPr>
        <w:tc>
          <w:tcPr>
            <w:tcW w:w="6560" w:type="dxa"/>
            <w:vAlign w:val="bottom"/>
          </w:tcPr>
          <w:p>
            <w:pPr>
              <w:spacing w:after="0" w:line="201" w:lineRule="exact"/>
              <w:rPr>
                <w:sz w:val="20"/>
                <w:szCs w:val="20"/>
                <w:color w:val="auto"/>
              </w:rPr>
            </w:pPr>
            <w:r>
              <w:rPr>
                <w:rFonts w:ascii="Arial" w:cs="Arial" w:eastAsia="Arial" w:hAnsi="Arial"/>
                <w:sz w:val="18"/>
                <w:szCs w:val="18"/>
                <w:color w:val="auto"/>
                <w:w w:val="96"/>
              </w:rPr>
              <w:t>Amortization of unrecognized prior service cost, unrecognized gain and unrecognized</w:t>
            </w: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initial obligation</w:t>
            </w:r>
          </w:p>
        </w:tc>
        <w:tc>
          <w:tcPr>
            <w:tcW w:w="16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0"/>
        </w:trPr>
        <w:tc>
          <w:tcPr>
            <w:tcW w:w="65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00" w:type="dxa"/>
            <w:vAlign w:val="bottom"/>
          </w:tcPr>
          <w:p>
            <w:pPr>
              <w:jc w:val="right"/>
              <w:ind w:right="144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386</w:t>
            </w:r>
          </w:p>
        </w:tc>
        <w:tc>
          <w:tcPr>
            <w:tcW w:w="1640" w:type="dxa"/>
            <w:vAlign w:val="bottom"/>
          </w:tcPr>
          <w:p>
            <w:pPr>
              <w:jc w:val="right"/>
              <w:ind w:right="145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349</w:t>
            </w:r>
          </w:p>
        </w:tc>
        <w:tc>
          <w:tcPr>
            <w:tcW w:w="12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automated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three families of products: (1) those that serve the blood donor, (2) those that serve the patient and (3) our services and software products which are used in connections with our donor and patient products. Under the donor family of products we have included blood bank, red cell and plasma collection products. The patient products include autologous blood salvage products targeting surgical patients who lose blood during or after surgery as well as a blood loss diagnostic product. Software and services include information technology platforms and business services that assist blood banks, plasma centers, and hospitals more effectively manage regulatory compliance and operational efficiency.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Donor</w:t>
      </w:r>
    </w:p>
    <w:p>
      <w:pPr>
        <w:spacing w:after="0" w:line="225"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The blood bank products include devices, single use disposables and solutions that perform “apheresis,” (the automated, on-line separation of a blood donor’s whole blood into its components, followed by the diversion of one or more blood components targeted for collection and the automated return to the donor of the “unwanted” components) as well as the washing of red blood cells for certain procedures. The main devices used for these blood component procedures are the MCS</w:t>
      </w:r>
      <w:r>
        <w:rPr>
          <w:rFonts w:ascii="Arial" w:cs="Arial" w:eastAsia="Arial" w:hAnsi="Arial"/>
          <w:sz w:val="24"/>
          <w:szCs w:val="24"/>
          <w:color w:val="auto"/>
          <w:vertAlign w:val="superscript"/>
        </w:rPr>
        <w:t>®</w:t>
      </w:r>
      <w:r>
        <w:rPr>
          <w:rFonts w:ascii="Arial" w:cs="Arial" w:eastAsia="Arial" w:hAnsi="Arial"/>
          <w:sz w:val="17"/>
          <w:szCs w:val="17"/>
          <w:color w:val="auto"/>
        </w:rPr>
        <w:t>+ mobile collection systems and the ACP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215 automated cell processing system.</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Red cell products include devices, single use disposables and solutions that perform apheresis for the collection of red blood cells. The devices used for the collection of red blood cells is the MCS</w:t>
      </w:r>
      <w:r>
        <w:rPr>
          <w:rFonts w:ascii="Arial" w:cs="Arial" w:eastAsia="Arial" w:hAnsi="Arial"/>
          <w:sz w:val="25"/>
          <w:szCs w:val="25"/>
          <w:color w:val="auto"/>
          <w:vertAlign w:val="superscript"/>
        </w:rPr>
        <w:t>®</w:t>
      </w:r>
      <w:r>
        <w:rPr>
          <w:rFonts w:ascii="Arial" w:cs="Arial" w:eastAsia="Arial" w:hAnsi="Arial"/>
          <w:sz w:val="18"/>
          <w:szCs w:val="18"/>
          <w:color w:val="auto"/>
        </w:rPr>
        <w:t>+ 8150 mobile collection system and the Cymbal mobile collection system.</w:t>
      </w:r>
    </w:p>
    <w:p>
      <w:pPr>
        <w:spacing w:after="0" w:line="6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Plasma collection products are devices, disposables and solutions that perform apheresis for the separation of whole blood components and subsequent collection of plasma. The device used in automated plasma collection is the PCS</w:t>
      </w:r>
      <w:r>
        <w:rPr>
          <w:rFonts w:ascii="Arial" w:cs="Arial" w:eastAsia="Arial" w:hAnsi="Arial"/>
          <w:sz w:val="25"/>
          <w:szCs w:val="25"/>
          <w:color w:val="auto"/>
          <w:vertAlign w:val="superscript"/>
        </w:rPr>
        <w:t>®</w:t>
      </w:r>
      <w:r>
        <w:rPr>
          <w:rFonts w:ascii="Arial" w:cs="Arial" w:eastAsia="Arial" w:hAnsi="Arial"/>
          <w:sz w:val="18"/>
          <w:szCs w:val="18"/>
          <w:color w:val="auto"/>
        </w:rPr>
        <w:t>2 plasma collection system.</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Patient products include devices and single use disposables that process surgical blood. Patient devices include the OrthoPAT, Cell Saver and cardioPAT surgical blood salvage systems, and the SmartSuction Harmony surgical suction product. Cell Saver is used in cardiovascular surgeries with high blood loss, other high blood loss surgeries, and trauma. The Cell Saver is mainly used intra-operatively. The cardioPAT is used in lower blood loss and minimally invasive cardiovascular surgeries. The cardioPAT can be used both intra-operatively and post-operatively. OrthoPAT technology is used for lower, slower blood loss orthopedic procedures, where bleeding takes place during and after surgery. These technologies perform a procedure whereby shed blood is collected, cleansed and made available to be transfused back to the patient.</w:t>
      </w:r>
    </w:p>
    <w:p>
      <w:pPr>
        <w:spacing w:after="0" w:line="17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SmartSuction Harmony is an auto-regulating suction system which removes blood and debris from the surgical field. The systems are used in conjunction with surgical blood salvage.</w:t>
      </w:r>
    </w:p>
    <w:p>
      <w:pPr>
        <w:spacing w:after="0" w:line="170"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In November of 2007, we acquired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Thrombelastograph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Hemostasis Analyzer business (“TEG®” or “TEG”) from Haemoscope Corporation. The TEG system is a diagnostic tool which allows clinicians to determine before, during, or after surgery, the platelet function of a particular patient, and consequently the likelihood that that patient will clot or bleed and therefore, need a transfusion. The TEG system allows the surgeon or anesthesiologist to decide upon the best blood-related clinical treatment for the individual patient.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and Services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Software and services revenue include revenue generated from Haemonetics’ Software Solutions business, equipment repairs performed under preventive maintenance contracts or emergency service billings and miscellaneous sales. Haemonetics Software Solutions provides information technology platforms and related services to plasma collectors, blood banks and the US Department of Defense. Our business services products include service offerings that assist blood banks, plasma centers, and hospitals more effectively manage regulatory compliance and operational efficiency.</w:t>
      </w:r>
    </w:p>
    <w:p>
      <w:pPr>
        <w:sectPr>
          <w:pgSz w:w="11900" w:h="16958" w:orient="portrait"/>
          <w:cols w:equalWidth="0" w:num="1">
            <w:col w:w="11420"/>
          </w:cols>
          <w:pgMar w:left="240" w:top="118" w:right="2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6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9"/>
              </w:rPr>
              <w:t>September 27, 2008</w:t>
            </w:r>
          </w:p>
        </w:tc>
        <w:tc>
          <w:tcPr>
            <w:tcW w:w="3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1"/>
              </w:rPr>
              <w:t>September 29, 2007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3"/>
          </w:tcPr>
          <w:p>
            <w:pPr>
              <w:jc w:val="center"/>
              <w:ind w:left="12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Disposables Revenues by Product Family</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Donor: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Plasma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37,581</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Blood Bank</w:t>
            </w:r>
          </w:p>
        </w:tc>
        <w:tc>
          <w:tcPr>
            <w:tcW w:w="20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36,294</w:t>
            </w:r>
          </w:p>
        </w:tc>
        <w:tc>
          <w:tcPr>
            <w:tcW w:w="3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34,160</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 Cell</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11,758</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10,835</w:t>
            </w:r>
          </w:p>
        </w:tc>
        <w:tc>
          <w:tcPr>
            <w:tcW w:w="10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97,976</w:t>
            </w:r>
          </w:p>
        </w:tc>
        <w:tc>
          <w:tcPr>
            <w:tcW w:w="2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Patient:</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Surgical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20,747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15,232</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OrthoPAT</w:t>
            </w:r>
          </w:p>
        </w:tc>
        <w:tc>
          <w:tcPr>
            <w:tcW w:w="20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8,393</w:t>
            </w:r>
          </w:p>
        </w:tc>
        <w:tc>
          <w:tcPr>
            <w:tcW w:w="3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7,849</w:t>
            </w:r>
          </w:p>
        </w:tc>
        <w:tc>
          <w:tcPr>
            <w:tcW w:w="100" w:type="dxa"/>
            <w:vAlign w:val="bottom"/>
          </w:tcPr>
          <w:p>
            <w:pPr>
              <w:spacing w:after="0"/>
              <w:rPr>
                <w:sz w:val="18"/>
                <w:szCs w:val="18"/>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29,140</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Disposables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127,116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105,657</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Software Solutions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9,950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8"/>
                <w:szCs w:val="18"/>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Total revenues from external customers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145,919</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121,179</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6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9"/>
              </w:rPr>
              <w:t>September 27, 2008</w:t>
            </w:r>
          </w:p>
        </w:tc>
        <w:tc>
          <w:tcPr>
            <w:tcW w:w="3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1"/>
              </w:rPr>
              <w:t>September 29, 2007</w:t>
            </w:r>
          </w:p>
        </w:tc>
        <w:tc>
          <w:tcPr>
            <w:tcW w:w="120" w:type="dxa"/>
            <w:vAlign w:val="bottom"/>
            <w:gridSpan w:val="2"/>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3"/>
          </w:tcPr>
          <w:p>
            <w:pPr>
              <w:jc w:val="center"/>
              <w:ind w:left="12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Disposables Revenues by Product Family</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Donor: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Plasma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96,792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73,536</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Blood Bank</w:t>
            </w:r>
          </w:p>
        </w:tc>
        <w:tc>
          <w:tcPr>
            <w:tcW w:w="20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71,953</w:t>
            </w:r>
          </w:p>
        </w:tc>
        <w:tc>
          <w:tcPr>
            <w:tcW w:w="3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67,192</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 Cell</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23,600</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21,779</w:t>
            </w:r>
          </w:p>
        </w:tc>
        <w:tc>
          <w:tcPr>
            <w:tcW w:w="10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192,345</w:t>
            </w:r>
          </w:p>
        </w:tc>
        <w:tc>
          <w:tcPr>
            <w:tcW w:w="2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Patient:</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Surgical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31,926</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OrthoPAT</w:t>
            </w:r>
          </w:p>
        </w:tc>
        <w:tc>
          <w:tcPr>
            <w:tcW w:w="20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17,189</w:t>
            </w:r>
          </w:p>
        </w:tc>
        <w:tc>
          <w:tcPr>
            <w:tcW w:w="3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16,036</w:t>
            </w:r>
          </w:p>
        </w:tc>
        <w:tc>
          <w:tcPr>
            <w:tcW w:w="100" w:type="dxa"/>
            <w:vAlign w:val="bottom"/>
          </w:tcPr>
          <w:p>
            <w:pPr>
              <w:spacing w:after="0"/>
              <w:rPr>
                <w:sz w:val="18"/>
                <w:szCs w:val="18"/>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60,299</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Disposables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252,644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210,469</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13,801</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Software Solutions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20,249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18,845</w:t>
            </w:r>
          </w:p>
        </w:tc>
        <w:tc>
          <w:tcPr>
            <w:tcW w:w="100" w:type="dxa"/>
            <w:vAlign w:val="bottom"/>
          </w:tcPr>
          <w:p>
            <w:pPr>
              <w:spacing w:after="0"/>
              <w:rPr>
                <w:sz w:val="18"/>
                <w:szCs w:val="18"/>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Total revenues from external customers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290,035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243,115</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REORGANIZATION</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last two years, the Company embarked on a business transformation with the primary focus on our international businesses. The goal of the transformation was to position these businesses to complement the growth of our U.S. business.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May 1, 2008, management announced a plan to transform our Technical Operations organization, which includes research, development and engineering, quality systems and manufacturing. Our goal is to better align our Technical Operations resources with our strategy to be the global leader in blood management solutions for our customers. This transformation will include: optimizing the products manufactured in our plants to best support our global customer base and concentrating our research, development and engineering resources on one platform project at a time.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Over the course of fiscal year 2009, we intend to finalize and implement the Technical Operations organization transformation plan. In accordance with the Company’s revised guidance, once finalized and implemented, we expect to incur exit related costs of $5 million to $7 million. For the six months ended September 27, 2008, we incurred costs totaling $2.1 million of one-time termination benefits and related costs (principally severance and outplacement costs) recorded as selling,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expect this transformation will align our resources with our vision of being the global leader in blood management solutions.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part of our Technical Operations organization transformation plan, we are finalizing the consolidation of our customer support functions in Europe into our European Headquarters in Signy, Switzerland. The consolidated center in Signy now includes finance, customer and sales support, and logistics supply chain</w:t>
      </w:r>
    </w:p>
    <w:p>
      <w:pPr>
        <w:sectPr>
          <w:pgSz w:w="11900" w:h="16838" w:orient="portrait"/>
          <w:cols w:equalWidth="0" w:num="1">
            <w:col w:w="11420"/>
          </w:cols>
          <w:pgMar w:left="240" w:top="341" w:right="239" w:bottom="0" w:gutter="0" w:footer="0" w:header="0"/>
        </w:sectPr>
      </w:pPr>
    </w:p>
    <w:bookmarkStart w:id="14" w:name="page15"/>
    <w:bookmarkEnd w:id="14"/>
    <w:p>
      <w:pPr>
        <w:ind w:right="260"/>
        <w:spacing w:after="0" w:line="257" w:lineRule="auto"/>
        <w:rPr>
          <w:sz w:val="20"/>
          <w:szCs w:val="20"/>
          <w:color w:val="auto"/>
        </w:rPr>
      </w:pPr>
      <w:r>
        <w:rPr>
          <w:rFonts w:ascii="Arial" w:cs="Arial" w:eastAsia="Arial" w:hAnsi="Arial"/>
          <w:sz w:val="18"/>
          <w:szCs w:val="18"/>
          <w:color w:val="auto"/>
        </w:rPr>
        <w:t>management. The majority of the consolidation of these functions occurred during fiscal year 2008. For the six months ended September 27, 2008 and September 29, 2007, we recorded pre-tax restructuring costs of $0.8 million and $2.3 million, respectively, as selling, general, and administrative costs. Additionally, we incurred other transformation costs relating to the hiring of new personnel in our new shared services center in Signy, Switzerland of $0.3 million and $0.5 million for the six months ended September 27, 2008 and September 29, 2007, respectively. The other transformation costs related to the hiring of new personnel are not included in the table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six months ended September 27, 2008 and September 29, 2007,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Six Months Ended September 27, 2008</w:t>
            </w: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Balance at March</w:t>
            </w: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Asset Write</w:t>
            </w:r>
          </w:p>
        </w:tc>
        <w:tc>
          <w:tcPr>
            <w:tcW w:w="1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Restructuring</w:t>
            </w:r>
          </w:p>
        </w:tc>
        <w:tc>
          <w:tcPr>
            <w:tcW w:w="0" w:type="dxa"/>
            <w:vAlign w:val="bottom"/>
          </w:tcPr>
          <w:p>
            <w:pPr>
              <w:spacing w:after="0"/>
              <w:rPr>
                <w:sz w:val="1"/>
                <w:szCs w:val="1"/>
                <w:color w:val="auto"/>
              </w:rPr>
            </w:pPr>
          </w:p>
        </w:tc>
      </w:tr>
      <w:tr>
        <w:trPr>
          <w:trHeight w:val="149"/>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3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Cost Incurred</w:t>
            </w:r>
          </w:p>
        </w:tc>
        <w:tc>
          <w:tcPr>
            <w:tcW w:w="240" w:type="dxa"/>
            <w:vAlign w:val="bottom"/>
            <w:vMerge w:val="restart"/>
          </w:tcPr>
          <w:p>
            <w:pPr>
              <w:spacing w:after="0"/>
              <w:rPr>
                <w:sz w:val="12"/>
                <w:szCs w:val="12"/>
                <w:color w:val="auto"/>
              </w:rPr>
            </w:pPr>
          </w:p>
        </w:tc>
        <w:tc>
          <w:tcPr>
            <w:tcW w:w="11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Payments</w:t>
            </w:r>
          </w:p>
        </w:tc>
        <w:tc>
          <w:tcPr>
            <w:tcW w:w="2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29, 2008</w:t>
            </w:r>
          </w:p>
        </w:tc>
        <w:tc>
          <w:tcPr>
            <w:tcW w:w="22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down</w:t>
            </w:r>
          </w:p>
        </w:tc>
        <w:tc>
          <w:tcPr>
            <w:tcW w:w="2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27, 2008</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Facility related costs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ind w:left="740"/>
              <w:spacing w:after="0"/>
              <w:rPr>
                <w:sz w:val="20"/>
                <w:szCs w:val="20"/>
                <w:color w:val="auto"/>
              </w:rPr>
            </w:pPr>
            <w:r>
              <w:rPr>
                <w:rFonts w:ascii="Arial" w:cs="Arial" w:eastAsia="Arial" w:hAnsi="Arial"/>
                <w:sz w:val="14"/>
                <w:szCs w:val="14"/>
                <w:b w:val="1"/>
                <w:bCs w:val="1"/>
                <w:color w:val="auto"/>
              </w:rPr>
              <w:t>Six Months Ended September 29, 2007</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Balance at March</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Asset Write</w:t>
            </w:r>
          </w:p>
        </w:tc>
        <w:tc>
          <w:tcPr>
            <w:tcW w:w="140" w:type="dxa"/>
            <w:vAlign w:val="bottom"/>
          </w:tcPr>
          <w:p>
            <w:pPr>
              <w:spacing w:after="0"/>
              <w:rPr>
                <w:sz w:val="10"/>
                <w:szCs w:val="10"/>
                <w:color w:val="auto"/>
              </w:rPr>
            </w:pPr>
          </w:p>
        </w:tc>
        <w:tc>
          <w:tcPr>
            <w:tcW w:w="144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rPr>
              <w:t>Restructuring</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 Incurred</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71"/>
        </w:trPr>
        <w:tc>
          <w:tcPr>
            <w:tcW w:w="3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414"/>
              <w:spacing w:after="0"/>
              <w:rPr>
                <w:sz w:val="20"/>
                <w:szCs w:val="20"/>
                <w:color w:val="auto"/>
              </w:rPr>
            </w:pPr>
            <w:r>
              <w:rPr>
                <w:rFonts w:ascii="Arial" w:cs="Arial" w:eastAsia="Arial" w:hAnsi="Arial"/>
                <w:sz w:val="14"/>
                <w:szCs w:val="14"/>
                <w:b w:val="1"/>
                <w:bCs w:val="1"/>
                <w:color w:val="auto"/>
              </w:rPr>
              <w:t>31, 2007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down</w:t>
            </w: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29, 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Facility related costs</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CAPITALIZATION OF SOFTWARE DEVELOPMENT COSTS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implementing an Enterprise Resource Planning (ERP) system. In Fiscal 2007, we began our plan to implement the system in two phases over three years. The Company has completed and put into service costs relating to Phase I. Phase II began during the three months ended June 28, 2008.</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cost of software that is developed for internal use is accounted for pursuant to AICPA Statement of Position 98-1, “Accounting for the Costs of Computer Software Developed or Obtained for Internal Use” (“SOP 98-1”). Pursuant to SOP 98-1, the Company capitalizes costs incurred during the application development stage of software developed for internal use, and expenses costs incurred during the preliminary project and the post-implementation operation stages of development. The Company capitalized $2.0 million and $4.9 million, respectively, during the six month periods ended September 27, 2008 and September 29, 2007, in costs incurred for acquisition of the software license and related software development costs for new internal software development that was in the application stage. The total capitalized costs incurred project to date include $1.8 million for the cost of the software license and $16.4 million in third party development costs and internal personnel.</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SFAS No. 86, “Accounting for the Cost of Computer Software to be Sold, Leased or Otherwise Marketed”,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In connection with the development of the software for our next generation Donor apheresis platform, the Company capitalized $0.7 million during the six month period ended September 27, 2008 and a project to date total of $11.9 million. All costs capitalized were incurred after a detailed design of the software was developed and research and development activities on the underlying device were completed. Work on the Donor apheresis platform has been temporarily suspended while the Company focuses on completing another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project, which is expected to be completed by early to mid fiscal year 2010. Work on the Donor apheresis platform is expected to resume mid fiscal year 2010. We will begin to amortize these costs when the device is released for sale.</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Additionally, the Company capitalized $1.6 million in software development costs for other ongoing initiatives during the six month period ended September 27, 2008. We will begin to amortize these costs when the products are released for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the MD&amp;A contained in our fiscal year 2008 Annual Report on Form 10-K filed with the Securities and Exchange Commission (the “SEC”) on May 27, 2008. The following discussion may contain forward-looking statements and should be read in conjunction with the “</w:t>
      </w:r>
      <w:r>
        <w:rPr>
          <w:rFonts w:ascii="Arial" w:cs="Arial" w:eastAsia="Arial" w:hAnsi="Arial"/>
          <w:sz w:val="18"/>
          <w:szCs w:val="18"/>
          <w:b w:val="1"/>
          <w:bCs w:val="1"/>
          <w:color w:val="auto"/>
        </w:rPr>
        <w:t>Cautionary Statement Regarding Forward-Looking Information</w:t>
      </w:r>
      <w:r>
        <w:rPr>
          <w:rFonts w:ascii="Arial" w:cs="Arial" w:eastAsia="Arial" w:hAnsi="Arial"/>
          <w:sz w:val="18"/>
          <w:szCs w:val="18"/>
          <w:color w:val="auto"/>
        </w:rPr>
        <w:t>” beginning on page 40.</w:t>
      </w:r>
    </w:p>
    <w:p>
      <w:pPr>
        <w:sectPr>
          <w:pgSz w:w="11900" w:h="16838" w:orient="portrait"/>
          <w:cols w:equalWidth="0" w:num="1">
            <w:col w:w="11420"/>
          </w:cols>
          <w:pgMar w:left="240" w:top="125" w:right="239" w:bottom="0" w:gutter="0" w:footer="0" w:header="0"/>
        </w:sectPr>
      </w:pPr>
    </w:p>
    <w:bookmarkStart w:id="15" w:name="page16"/>
    <w:bookmarkEnd w:id="15"/>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Haemonetics is a blood management solutions company for our customers. Anchored by our reputable medical devices systems, we also provide information technology platforms and value added services to provide customers with business solutions which support improved clinical outcomes for patients and efficiency in the blood supply chain.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systems automate the collection and processing of donated blood; assess likelihood for blood loss; and salvage and process surgical patient blood. These systems include devices and single-use, proprietary disposable sets (“disposables”) that operate only with our specialized devices. Our systems allow users to collect and process only the blood component(s) they target – plasma, platelets, or red blood cells – increasing donor and patient safety as well as collection efficiencies. Our information technology platforms are used by blood and plasma collectors to improve the safety and efficiency of blood collection logistics by eliminating previously manual functions at not-for-profit blood banks and commercial plasma centers. Our business services products include consulting, Six Sigma, LEAN manufacturing and Insight Opportunity Model offerings that support our customers’ needs for regulatory compliance and operational efficiency in the blood supply chain.</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181"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disposables revenue stream (including sales of disposables and fees for the use of our equipment) accounted for approximately 87.1% and 87.2% of our total revenues for the second quarter of fiscal year 2009 and 2008, respectively and 87.1% and 86.6% of our total revenues for the first six months of fiscal year 2009 and 2008,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For the three months ended</w:t>
            </w:r>
          </w:p>
        </w:tc>
        <w:tc>
          <w:tcPr>
            <w:tcW w:w="10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For the six months ended</w:t>
            </w: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w:t>
            </w:r>
          </w:p>
        </w:tc>
        <w:tc>
          <w:tcPr>
            <w:tcW w:w="120" w:type="dxa"/>
            <w:vAlign w:val="bottom"/>
          </w:tcPr>
          <w:p>
            <w:pPr>
              <w:spacing w:after="0"/>
              <w:rPr>
                <w:sz w:val="12"/>
                <w:szCs w:val="12"/>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September 27,</w:t>
            </w:r>
          </w:p>
        </w:tc>
        <w:tc>
          <w:tcPr>
            <w:tcW w:w="120" w:type="dxa"/>
            <w:vAlign w:val="bottom"/>
          </w:tcPr>
          <w:p>
            <w:pPr>
              <w:spacing w:after="0"/>
              <w:rPr>
                <w:sz w:val="12"/>
                <w:szCs w:val="12"/>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September 29,</w:t>
            </w: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1"/>
              </w:rPr>
              <w:t>September 27,</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September 29,</w:t>
            </w: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9"/>
        </w:trPr>
        <w:tc>
          <w:tcPr>
            <w:tcW w:w="2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Q2FY09 vs.</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share data)</w:t>
            </w:r>
          </w:p>
        </w:tc>
        <w:tc>
          <w:tcPr>
            <w:tcW w:w="12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Q2FY08</w:t>
            </w:r>
          </w:p>
        </w:tc>
        <w:tc>
          <w:tcPr>
            <w:tcW w:w="120" w:type="dxa"/>
            <w:vAlign w:val="bottom"/>
          </w:tcPr>
          <w:p>
            <w:pPr>
              <w:spacing w:after="0"/>
              <w:rPr>
                <w:sz w:val="14"/>
                <w:szCs w:val="14"/>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145,919</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121,179</w:t>
            </w:r>
          </w:p>
        </w:tc>
        <w:tc>
          <w:tcPr>
            <w:tcW w:w="2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290,035</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243,115</w:t>
            </w:r>
          </w:p>
        </w:tc>
        <w:tc>
          <w:tcPr>
            <w:tcW w:w="3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74,689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59,889</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147,726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121,383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 of net revenues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51.2%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49.4%</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50.9%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49.9%</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14,616</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42,943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30,395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Arial" w:cs="Arial" w:eastAsia="Arial" w:hAnsi="Arial"/>
                <w:sz w:val="18"/>
                <w:szCs w:val="18"/>
                <w:i w:val="1"/>
                <w:iCs w:val="1"/>
                <w:color w:val="auto"/>
              </w:rPr>
              <w:t>% of net revenues</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16.2%</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12.1%</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i w:val="1"/>
                <w:iCs w:val="1"/>
                <w:color w:val="auto"/>
              </w:rPr>
              <w:t>14.8%</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12.5%</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(360)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3,317</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(276.5)%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(915)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1,688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22,809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16,608</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43,148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35,040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Provision for income tax</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5,441</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14,000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11,196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 of pre-tax income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35.1%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32.8%</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32.4%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32.0%</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29,148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23,844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Arial" w:cs="Arial" w:eastAsia="Arial" w:hAnsi="Arial"/>
                <w:sz w:val="18"/>
                <w:szCs w:val="18"/>
                <w:i w:val="1"/>
                <w:iCs w:val="1"/>
                <w:color w:val="auto"/>
              </w:rPr>
              <w:t>% of net revenues</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10.1%</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9.2%</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i w:val="1"/>
                <w:iCs w:val="1"/>
                <w:color w:val="auto"/>
              </w:rPr>
              <w:t>10.0%</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9.8%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Earnings per share-diluted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0.89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Net revenues increased 20.4% and 19.3% for the second quarter and the first six months of fiscal year 2009 over the comparable period of fiscal year 2008. The effects of foreign exchange accounted for an increase of 5.5% and 5.3% for the second quarter and six months, respectively. The remaining increase of 14.9% for the quarter and 14.0% for the six months is mainly due to increases in our disposables revenue and equipment sales. The increase in disposables revenue for the quarter resulted primarily from disposable unit increases across all of our Donor and Patient product lines, including $4.7 million and $9.7</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million of revenues for the second quarter and six months, respectively related to the TEG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Hemostasis Analyzer business </w:t>
      </w:r>
      <w:r>
        <w:rPr>
          <w:rFonts w:ascii="Arial" w:cs="Arial" w:eastAsia="Arial" w:hAnsi="Arial"/>
          <w:sz w:val="15"/>
          <w:szCs w:val="15"/>
          <w:color w:val="auto"/>
        </w:rPr>
        <w:t>(“TEG®” or</w:t>
      </w:r>
      <w:r>
        <w:rPr>
          <w:rFonts w:ascii="Arial" w:cs="Arial" w:eastAsia="Arial" w:hAnsi="Arial"/>
          <w:sz w:val="16"/>
          <w:szCs w:val="16"/>
          <w:color w:val="auto"/>
        </w:rPr>
        <w:t xml:space="preserve"> </w:t>
      </w:r>
      <w:r>
        <w:rPr>
          <w:rFonts w:ascii="Arial" w:cs="Arial" w:eastAsia="Arial" w:hAnsi="Arial"/>
          <w:sz w:val="15"/>
          <w:szCs w:val="15"/>
          <w:color w:val="auto"/>
        </w:rPr>
        <w:t xml:space="preserve">“TEG”) </w:t>
      </w:r>
      <w:r>
        <w:rPr>
          <w:rFonts w:ascii="Arial" w:cs="Arial" w:eastAsia="Arial" w:hAnsi="Arial"/>
          <w:sz w:val="16"/>
          <w:szCs w:val="16"/>
          <w:color w:val="auto"/>
        </w:rPr>
        <w:t>which was acquired in the third quarter of fiscal year 2008 and the Medicell business which was acquired in the first quarter of fiscal year 2009.</w:t>
      </w:r>
    </w:p>
    <w:p>
      <w:pPr>
        <w:spacing w:after="0" w:line="20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Gross profit increased 24.7% and 21.7% for the second quarter and the first six months of fiscal year 2009 over the comparable period of fiscal year 2008. The favorable effects of foreign exchange accounted for an increase of 9.2% and 7.3% for the second quarter and first six months of fiscal year 2009, respectively. The remaining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increase of 15.5% for the quarter and 14.4% for the six months was due primarily to increased sales offset partly by changes in product mix driven by higher sales of lower margin plasma products.</w:t>
      </w:r>
    </w:p>
    <w:p>
      <w:pPr>
        <w:sectPr>
          <w:pgSz w:w="11900" w:h="16875" w:orient="portrait"/>
          <w:cols w:equalWidth="0" w:num="1">
            <w:col w:w="11420"/>
          </w:cols>
          <w:pgMar w:left="240" w:top="121" w:right="239" w:bottom="0" w:gutter="0" w:footer="0" w:header="0"/>
        </w:sectPr>
      </w:pPr>
    </w:p>
    <w:bookmarkStart w:id="16" w:name="page17"/>
    <w:bookmarkEnd w:id="16"/>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Operating income increased 61.5% and 41.3% for the second quarter and the first six months of fiscal year 2009 over the comparable period of fiscal year 2008. The favorable effects of foreign exchange accounted for an increase of 27.2% and 14.7% for the secord quarter and first six months of fiscal year 2009, respectively. Without the effects of foreign exchange operating income increased 34.3% for the quarter and 26.6% for the six months. These increases were a result of the gross profit changes described above offset by higher operating expenses of 8.3% and 9.9% for the secord quarter and first six months of fiscal year 2009, respectively, that are largely related to the expenses that were brought on from the recent acquisitions, including TEG®.</w:t>
      </w:r>
    </w:p>
    <w:p>
      <w:pPr>
        <w:spacing w:after="0" w:line="1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Net income increased 32.6% and 22.2% for the second quarter and the first six months of fiscal year 2009 over the comparable periods of fiscal year 2008. The main factor that affected net income was the increase in operating income, due to the reasons mentioned above and to a lower tax rate for second quarter of fiscal year 2009 as compared to that of fiscal year 2008. The increase in operating income was partially offset by lower interest income and by higher</w:t>
      </w:r>
    </w:p>
    <w:p>
      <w:pPr>
        <w:ind w:right="180"/>
        <w:spacing w:after="0" w:line="205" w:lineRule="auto"/>
        <w:rPr>
          <w:sz w:val="20"/>
          <w:szCs w:val="20"/>
          <w:color w:val="auto"/>
        </w:rPr>
      </w:pPr>
      <w:r>
        <w:rPr>
          <w:rFonts w:ascii="Arial" w:cs="Arial" w:eastAsia="Arial" w:hAnsi="Arial"/>
          <w:sz w:val="18"/>
          <w:szCs w:val="18"/>
          <w:color w:val="auto"/>
        </w:rPr>
        <w:t>other expense, net relating to lower cash on hand stemming from the TEG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acquisition and share repurchase program, lower investment yield, and increased expense relating to hedge points.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Geography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center"/>
              <w:ind w:left="939"/>
              <w:spacing w:after="0"/>
              <w:rPr>
                <w:sz w:val="20"/>
                <w:szCs w:val="20"/>
                <w:color w:val="auto"/>
              </w:rPr>
            </w:pPr>
            <w:r>
              <w:rPr>
                <w:rFonts w:ascii="Arial" w:cs="Arial" w:eastAsia="Arial" w:hAnsi="Arial"/>
                <w:sz w:val="14"/>
                <w:szCs w:val="14"/>
                <w:b w:val="1"/>
                <w:bCs w:val="1"/>
                <w:color w:val="auto"/>
                <w:w w:val="91"/>
              </w:rPr>
              <w:t>For the three months ended</w:t>
            </w:r>
          </w:p>
        </w:tc>
        <w:tc>
          <w:tcPr>
            <w:tcW w:w="1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For the six months ended</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September 29,</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September 27,</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September 29,</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Q2FY09 vs.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Q2FY08</w:t>
            </w:r>
          </w:p>
        </w:tc>
        <w:tc>
          <w:tcPr>
            <w:tcW w:w="10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53,773</w:t>
            </w:r>
          </w:p>
        </w:tc>
        <w:tc>
          <w:tcPr>
            <w:tcW w:w="14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132,300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108,604</w:t>
            </w: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79,408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67,406</w:t>
            </w: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157,735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134,511</w:t>
            </w:r>
          </w:p>
        </w:tc>
        <w:tc>
          <w:tcPr>
            <w:tcW w:w="1360" w:type="dxa"/>
            <w:vAlign w:val="bottom"/>
            <w:gridSpan w:val="3"/>
          </w:tcPr>
          <w:p>
            <w:pPr>
              <w:ind w:left="8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145,919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121,179</w:t>
            </w:r>
          </w:p>
        </w:tc>
        <w:tc>
          <w:tcPr>
            <w:tcW w:w="1420" w:type="dxa"/>
            <w:vAlign w:val="bottom"/>
            <w:gridSpan w:val="2"/>
          </w:tcPr>
          <w:p>
            <w:pPr>
              <w:ind w:left="820"/>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290,035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243,115</w:t>
            </w:r>
          </w:p>
        </w:tc>
        <w:tc>
          <w:tcPr>
            <w:tcW w:w="280" w:type="dxa"/>
            <w:vAlign w:val="bottom"/>
          </w:tcPr>
          <w:p>
            <w:pPr>
              <w:spacing w:after="0"/>
              <w:rPr>
                <w:sz w:val="21"/>
                <w:szCs w:val="21"/>
                <w:color w:val="auto"/>
              </w:rPr>
            </w:pPr>
          </w:p>
        </w:tc>
        <w:tc>
          <w:tcPr>
            <w:tcW w:w="1360" w:type="dxa"/>
            <w:vAlign w:val="bottom"/>
            <w:gridSpan w:val="3"/>
          </w:tcPr>
          <w:p>
            <w:pPr>
              <w:ind w:left="820"/>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50 countries around the world via a direct sales force as well as independent distributors.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revenues generated outside the U.S. approximated 54.4% and 55.6% of total sales for the second quarter of fiscal years 2009 and 2008, respectively and 54.4% and 55.3% for the first six months of fiscal years 2009 and 2008, respectively. Revenues in Japan accounted for approximately 16.6% and 19.6% of total revenues for the second quarter of fiscal year 2009 and 2008, respectively and 15.9% and 18.2% of total revenues for the first six months of fiscal year 2009 and 2008, respectively. Revenues in Europe accounted for approximately 29.6% and 27.5% of total revenues for the second quarters of fiscal year 2009 and 2008 and 30.5% and 29.1% of total revenues for the first six months of fiscal year 2009 and 2008, respectively. International sales are primarily conducted in local currencies, primarily the Japanese Yen and the Euro. As discussed above, our results of operations can be impacted by changes in the value of the Yen and the Euro relative to the U.S. dollar.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Product Type</w:t>
      </w:r>
      <w:r>
        <w:rPr>
          <w:rFonts w:ascii="Arial" w:cs="Arial" w:eastAsia="Arial" w:hAnsi="Arial"/>
          <w:sz w:val="18"/>
          <w:szCs w:val="18"/>
          <w:b w:val="1"/>
          <w:bCs w:val="1"/>
          <w:i w:val="1"/>
          <w:iCs w:val="1"/>
          <w:color w:val="auto"/>
        </w:rPr>
        <w:t xml:space="preserve"> Net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Product Type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2"/>
              </w:rPr>
              <w:t>For the three months ended</w:t>
            </w: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0"/>
              </w:rPr>
              <w:t>For the six months ended</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9"/>
              </w:rPr>
              <w:t>September 29,</w:t>
            </w:r>
          </w:p>
        </w:tc>
        <w:tc>
          <w:tcPr>
            <w:tcW w:w="40" w:type="dxa"/>
            <w:vAlign w:val="bottom"/>
          </w:tcPr>
          <w:p>
            <w:pPr>
              <w:spacing w:after="0"/>
              <w:rPr>
                <w:sz w:val="10"/>
                <w:szCs w:val="10"/>
                <w:color w:val="auto"/>
              </w:rPr>
            </w:pPr>
          </w:p>
        </w:tc>
        <w:tc>
          <w:tcPr>
            <w:tcW w:w="11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 Increase</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September 29,</w:t>
            </w:r>
          </w:p>
        </w:tc>
        <w:tc>
          <w:tcPr>
            <w:tcW w:w="80" w:type="dxa"/>
            <w:vAlign w:val="bottom"/>
          </w:tcPr>
          <w:p>
            <w:pPr>
              <w:spacing w:after="0"/>
              <w:rPr>
                <w:sz w:val="10"/>
                <w:szCs w:val="10"/>
                <w:color w:val="auto"/>
              </w:rPr>
            </w:pPr>
          </w:p>
        </w:tc>
        <w:tc>
          <w:tcPr>
            <w:tcW w:w="1120" w:type="dxa"/>
            <w:vAlign w:val="bottom"/>
          </w:tcPr>
          <w:p>
            <w:pPr>
              <w:jc w:val="center"/>
              <w:ind w:right="30"/>
              <w:spacing w:after="0" w:line="119" w:lineRule="exact"/>
              <w:rPr>
                <w:sz w:val="20"/>
                <w:szCs w:val="20"/>
                <w:color w:val="auto"/>
              </w:rPr>
            </w:pPr>
            <w:r>
              <w:rPr>
                <w:rFonts w:ascii="Arial" w:cs="Arial" w:eastAsia="Arial" w:hAnsi="Arial"/>
                <w:sz w:val="13"/>
                <w:szCs w:val="13"/>
                <w:b w:val="1"/>
                <w:bCs w:val="1"/>
                <w:color w:val="auto"/>
              </w:rPr>
              <w:t>% Increase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Q2FY09 vs.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7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Q2FY08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Disposables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127,116</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105,657</w:t>
            </w:r>
          </w:p>
        </w:tc>
        <w:tc>
          <w:tcPr>
            <w:tcW w:w="2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20.3%</w:t>
            </w: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252,644</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8"/>
                <w:szCs w:val="18"/>
                <w:color w:val="auto"/>
              </w:rPr>
              <w:t>Software Solutions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8,689</w:t>
            </w:r>
          </w:p>
        </w:tc>
        <w:tc>
          <w:tcPr>
            <w:tcW w:w="240" w:type="dxa"/>
            <w:vAlign w:val="bottom"/>
          </w:tcPr>
          <w:p>
            <w:pPr>
              <w:spacing w:after="0"/>
              <w:rPr>
                <w:sz w:val="18"/>
                <w:szCs w:val="18"/>
                <w:color w:val="auto"/>
              </w:rPr>
            </w:pPr>
          </w:p>
        </w:tc>
        <w:tc>
          <w:tcPr>
            <w:tcW w:w="1380" w:type="dxa"/>
            <w:vAlign w:val="bottom"/>
            <w:gridSpan w:val="4"/>
          </w:tcPr>
          <w:p>
            <w:pPr>
              <w:ind w:left="820"/>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20,249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18,845</w:t>
            </w:r>
          </w:p>
        </w:tc>
        <w:tc>
          <w:tcPr>
            <w:tcW w:w="20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6,833</w:t>
            </w:r>
          </w:p>
        </w:tc>
        <w:tc>
          <w:tcPr>
            <w:tcW w:w="2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29.6%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13,801</w:t>
            </w: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145,919</w:t>
            </w:r>
          </w:p>
        </w:tc>
        <w:tc>
          <w:tcPr>
            <w:tcW w:w="2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121,179</w:t>
            </w:r>
          </w:p>
        </w:tc>
        <w:tc>
          <w:tcPr>
            <w:tcW w:w="24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ind w:left="820"/>
              <w:spacing w:after="0"/>
              <w:rPr>
                <w:sz w:val="20"/>
                <w:szCs w:val="20"/>
                <w:color w:val="auto"/>
              </w:rPr>
            </w:pPr>
            <w:r>
              <w:rPr>
                <w:rFonts w:ascii="Arial" w:cs="Arial" w:eastAsia="Arial" w:hAnsi="Arial"/>
                <w:sz w:val="18"/>
                <w:szCs w:val="18"/>
                <w:b w:val="1"/>
                <w:bCs w:val="1"/>
                <w:color w:val="auto"/>
              </w:rPr>
              <w:t>20.4%</w:t>
            </w: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290,035</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243,115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411"/>
        </w:trPr>
        <w:tc>
          <w:tcPr>
            <w:tcW w:w="27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Disposables Revenues</w:t>
            </w: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760" w:type="dxa"/>
            <w:vAlign w:val="bottom"/>
            <w:gridSpan w:val="6"/>
          </w:tcPr>
          <w:p>
            <w:pPr>
              <w:spacing w:after="0" w:line="190" w:lineRule="exact"/>
              <w:rPr>
                <w:sz w:val="20"/>
                <w:szCs w:val="20"/>
                <w:color w:val="auto"/>
              </w:rPr>
            </w:pPr>
            <w:r>
              <w:rPr>
                <w:rFonts w:ascii="Arial" w:cs="Arial" w:eastAsia="Arial" w:hAnsi="Arial"/>
                <w:sz w:val="18"/>
                <w:szCs w:val="18"/>
                <w:b w:val="1"/>
                <w:bCs w:val="1"/>
                <w:i w:val="1"/>
                <w:iCs w:val="1"/>
                <w:color w:val="auto"/>
              </w:rPr>
              <w:t>By Product Type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1040"/>
              <w:spacing w:after="0"/>
              <w:rPr>
                <w:sz w:val="20"/>
                <w:szCs w:val="20"/>
                <w:color w:val="auto"/>
              </w:rPr>
            </w:pPr>
            <w:r>
              <w:rPr>
                <w:rFonts w:ascii="Arial" w:cs="Arial" w:eastAsia="Arial" w:hAnsi="Arial"/>
                <w:sz w:val="14"/>
                <w:szCs w:val="14"/>
                <w:b w:val="1"/>
                <w:bCs w:val="1"/>
                <w:color w:val="auto"/>
                <w:w w:val="93"/>
              </w:rPr>
              <w:t>For the three months ended</w:t>
            </w: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For the six months ended</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1"/>
              </w:rPr>
              <w:t>September 29,</w:t>
            </w:r>
          </w:p>
        </w:tc>
        <w:tc>
          <w:tcPr>
            <w:tcW w:w="4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3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September 27,</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29,</w:t>
            </w:r>
          </w:p>
        </w:tc>
        <w:tc>
          <w:tcPr>
            <w:tcW w:w="80" w:type="dxa"/>
            <w:vAlign w:val="bottom"/>
          </w:tcPr>
          <w:p>
            <w:pPr>
              <w:spacing w:after="0"/>
              <w:rPr>
                <w:sz w:val="10"/>
                <w:szCs w:val="10"/>
                <w:color w:val="auto"/>
              </w:rPr>
            </w:pP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Q2FY09 vs.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7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Q2FY08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2"/>
              </w:rPr>
              <w:t>Donor:</w:t>
            </w:r>
          </w:p>
        </w:tc>
        <w:tc>
          <w:tcPr>
            <w:tcW w:w="2220" w:type="dxa"/>
            <w:vAlign w:val="bottom"/>
            <w:tcBorders>
              <w:bottom w:val="single" w:sz="8" w:color="CCEEFF"/>
            </w:tcBorders>
            <w:gridSpan w:val="4"/>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auto"/>
              </w:rPr>
              <w:t>Plasma</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49,924</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37,581</w:t>
            </w:r>
          </w:p>
        </w:tc>
        <w:tc>
          <w:tcPr>
            <w:tcW w:w="1380" w:type="dxa"/>
            <w:vAlign w:val="bottom"/>
            <w:gridSpan w:val="4"/>
          </w:tcPr>
          <w:p>
            <w:pPr>
              <w:jc w:val="right"/>
              <w:ind w:right="140"/>
              <w:spacing w:after="0"/>
              <w:rPr>
                <w:sz w:val="20"/>
                <w:szCs w:val="20"/>
                <w:color w:val="auto"/>
              </w:rPr>
            </w:pPr>
            <w:r>
              <w:rPr>
                <w:rFonts w:ascii="Arial" w:cs="Arial" w:eastAsia="Arial" w:hAnsi="Arial"/>
                <w:sz w:val="18"/>
                <w:szCs w:val="18"/>
                <w:color w:val="auto"/>
              </w:rPr>
              <w:t>32.8%</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96,792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73,536</w:t>
            </w: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Blood Bank</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36,294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34,160</w:t>
            </w:r>
          </w:p>
        </w:tc>
        <w:tc>
          <w:tcPr>
            <w:tcW w:w="1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71,953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67,192</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auto"/>
              </w:rPr>
              <w:t>Red Cell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11,758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10,835</w:t>
            </w:r>
          </w:p>
        </w:tc>
        <w:tc>
          <w:tcPr>
            <w:tcW w:w="1380" w:type="dxa"/>
            <w:vAlign w:val="bottom"/>
            <w:gridSpan w:val="4"/>
          </w:tcPr>
          <w:p>
            <w:pPr>
              <w:jc w:val="right"/>
              <w:ind w:right="14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23,600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21,779</w:t>
            </w: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97,976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82,576</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18.6%</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192,345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162,507</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7" w:name="page18"/>
    <w:bookmarkEnd w:id="17"/>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Patient:</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Surgical &amp; Diagnostic</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20,747</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15,232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43,110</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31,926</w:t>
            </w:r>
          </w:p>
        </w:tc>
        <w:tc>
          <w:tcPr>
            <w:tcW w:w="106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OrthoPat</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8,393</w:t>
            </w: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7,849</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17,189</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16,036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Subtotal</w:t>
            </w: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29,140</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23,081</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26.3%</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60,299</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47,962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Total disposables revenue</w:t>
            </w: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127,116</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105,657</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20.3%</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252,644</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210,469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414"/>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DONOR PRODUCTS</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Donor products include the plasma, blood bank and red cell product lines. Disposables revenue for donor products increased 18.6% compared to the second quarter of fiscal year 2008 and 18.4% for the first six months over the comparable period in fiscal year 2008. Foreign exchange resulted in a 6.4% increase for the second quarter and 5.7% increase for the first six months over the comparable period in fiscal year 2008. The remaining increase of 12.2% for the quarter and 12.7% for the first six months was driven by increases in the Plasma along with increases in the other product lines, as discussed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Plasma disposable revenue increased 32.8% and 31.6%, respectively, for the second quarter and the first six months of fiscal year 2009 compared to the same periods in fiscal year 2008. Foreign exchange resulted in a 5.1% and 4.4% increase on plasma disposables revenue for the quarter and the first six months, respectively. The two main reasons for the remaining increase for the quarter and for the first six months are (1) increased demand for our products due to the demand for plasma derived pharmaceuticals and (2) new customers added over the last twelve months. Demand for source plasma to make pharmaceuticals remains strong, increasing collections by our customers and resulting in higher sales. To meet this higher demand, over the past year we have continued to place additional equipment with existing and new customers. As market share growth rates trend down and our customers’ demand levels normalize, we expect plasma disposable growth rates to moderate to a low double-digit 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225"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Blood bank disposable revenue for donor products increased 6.2% and 7.1%, respectively, for the second quarter and the first six months of fiscal year 2009 compared to the same periods in of fiscal year 2008. Foreign exchange resulted in a 7.9% increase in blood bank disposables revenue during the quarter and 7.5% increase in the first six months over the comparable periods in fiscal year 2008. Without the effect of currency, blood bank revenue decreased 1.7% and</w:t>
      </w:r>
    </w:p>
    <w:p>
      <w:pPr>
        <w:ind w:right="120"/>
        <w:spacing w:after="0" w:line="253" w:lineRule="auto"/>
        <w:rPr>
          <w:sz w:val="20"/>
          <w:szCs w:val="20"/>
          <w:color w:val="auto"/>
        </w:rPr>
      </w:pPr>
      <w:r>
        <w:rPr>
          <w:rFonts w:ascii="Arial" w:cs="Arial" w:eastAsia="Arial" w:hAnsi="Arial"/>
          <w:sz w:val="18"/>
          <w:szCs w:val="18"/>
          <w:color w:val="auto"/>
        </w:rPr>
        <w:t>0.4% for the second quarter and first six months. Blood bank sales consist of our products which collect platelets, and certain blood processing equipment. The decrease was driven by declines in European direct sales and Japan partially offset by increased sales to Canadian Blood Services and the Asia Pacific region. While the overall market for platelet collections has seen nominal growth rates in Europe, U.S. and Japan, we have seen increased demand in certain emerging markets which has driven increased sales in those geographies. The sales to the Canadian Blood Services are the result of a contract implemented in the fourth quarter of fiscal year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 Cell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Red cell disposable revenue increased 8.5% compared to the second quarter of fiscal year 2008 and 8.4% compared to the first six months of fiscal year 2008. Foreign exchange accounted for an increase of 4.8% in the quarter and an increase of 2.9% for the first six months over the comparable period in fiscal year 2008. The remaining increase of 3.7% for the quarter and 5.5% for the first six months was primarily due to additional equipment placements over the last year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PATIENT PRODUCTS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patient product line includes the following brand platforms: the Cell Saver® brand, the TEG® products and the OrthoPAT® brand and the cardioPAT® brand. Patient disposables revenue increased 26.3% compared to the second quarter of fiscal year 2008 and 25.7% compared to the first six months of fiscal year 2008. Foreign exchange resulted in a 4.9% increase in patient disposables revenue during the quarter and a 4.6% increase during the first six months. The remaining increase of 21.4% for the quarter and 21.1% for the first six months were the result of increases in each of the product lines, as discussed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Surgical &amp; Diagnostic</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Revenues from our surgical disposables and diagnostic products increased 36.2% as compared to the second quarter of fiscal year 2008 and increased 35.0% as compared to the first six months of fiscal 2008. Surgical and diagnostic disposables revenue consists principally of the Cell Saver, cardioPAT, and TEG products. Foreign exchange resulted in a 5.4% increase in surgical and diagnostic disposables revenue during the quarter and a 5.0% increase the first six months. Without the effect of currency, surgical disposables and diagnostic revenue increased 30.8% for the quarter and 30.0% for the first six months. The growth is principally driven by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impact of adding the TEG® product line, which had sales of $4.8 million in the second quarter and $9.9 million in the first six months of fiscal year 2009, to the surgical product portfolio. The TEG product line was added through its acquisition from Haemoscope Corporation in the third quarter of fiscal year 2008. In the first quarter of fiscal year 2009, Medicell (previously, Haemoscope’s UK distributor) was acquired.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OrthoPAT</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OrthoPAT products serve orthopedic procedures that involve slower, lower volume blood loss that occurs for up to six hours after surgery (post op). Revenues are driven by adoption of the technology by surgeons and hospitals, and particularly by increased usage among existing customers. OrthoPAT disposables revenue increased 6.9% as compared to the second quarter of fiscal year 2008 and 7.2% for the first six months of fiscal 2008. Foreign exchange</w:t>
      </w:r>
    </w:p>
    <w:p>
      <w:pPr>
        <w:sectPr>
          <w:pgSz w:w="11900" w:h="16952" w:orient="portrait"/>
          <w:cols w:equalWidth="0" w:num="1">
            <w:col w:w="11420"/>
          </w:cols>
          <w:pgMar w:left="240" w:top="108" w:right="239" w:bottom="0" w:gutter="0" w:footer="0" w:header="0"/>
        </w:sectPr>
      </w:pPr>
    </w:p>
    <w:bookmarkStart w:id="18" w:name="page19"/>
    <w:bookmarkEnd w:id="18"/>
    <w:p>
      <w:pPr>
        <w:ind w:right="240"/>
        <w:spacing w:after="0" w:line="264" w:lineRule="auto"/>
        <w:rPr>
          <w:sz w:val="20"/>
          <w:szCs w:val="20"/>
          <w:color w:val="auto"/>
        </w:rPr>
      </w:pPr>
      <w:r>
        <w:rPr>
          <w:rFonts w:ascii="Arial" w:cs="Arial" w:eastAsia="Arial" w:hAnsi="Arial"/>
          <w:sz w:val="18"/>
          <w:szCs w:val="18"/>
          <w:color w:val="auto"/>
        </w:rPr>
        <w:t>resulted in a 3.8% increase in OrthoPAT disposables revenue during the quarter and a 3.7% increase for the first six months. Without foreign exchange, revenues increased by 3.1% and 3.5%, respectively for the second quarter and the first six months of fiscal year 2009 compared to the same period in fiscal year 2008. This growth was driven by increases in Japan.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For the three months ended</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1240"/>
              <w:spacing w:after="0"/>
              <w:rPr>
                <w:sz w:val="20"/>
                <w:szCs w:val="20"/>
                <w:color w:val="auto"/>
              </w:rPr>
            </w:pPr>
            <w:r>
              <w:rPr>
                <w:rFonts w:ascii="Arial" w:cs="Arial" w:eastAsia="Arial" w:hAnsi="Arial"/>
                <w:sz w:val="14"/>
                <w:szCs w:val="14"/>
                <w:b w:val="1"/>
                <w:bCs w:val="1"/>
                <w:color w:val="auto"/>
              </w:rPr>
              <w:t>For the six months ended</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27, 2008</w:t>
            </w:r>
          </w:p>
        </w:tc>
        <w:tc>
          <w:tcPr>
            <w:tcW w:w="140" w:type="dxa"/>
            <w:vAlign w:val="bottom"/>
          </w:tcPr>
          <w:p>
            <w:pPr>
              <w:spacing w:after="0"/>
              <w:rPr>
                <w:sz w:val="12"/>
                <w:szCs w:val="12"/>
                <w:color w:val="auto"/>
              </w:rPr>
            </w:pPr>
          </w:p>
        </w:tc>
        <w:tc>
          <w:tcPr>
            <w:tcW w:w="15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September 29, 2007</w:t>
            </w:r>
          </w:p>
        </w:tc>
        <w:tc>
          <w:tcPr>
            <w:tcW w:w="1420" w:type="dxa"/>
            <w:vAlign w:val="bottom"/>
            <w:gridSpan w:val="3"/>
          </w:tcPr>
          <w:p>
            <w:pPr>
              <w:jc w:val="center"/>
              <w:ind w:right="345"/>
              <w:spacing w:after="0" w:line="149" w:lineRule="exact"/>
              <w:rPr>
                <w:sz w:val="20"/>
                <w:szCs w:val="20"/>
                <w:color w:val="auto"/>
              </w:rPr>
            </w:pPr>
            <w:r>
              <w:rPr>
                <w:rFonts w:ascii="Arial" w:cs="Arial" w:eastAsia="Arial" w:hAnsi="Arial"/>
                <w:sz w:val="14"/>
                <w:szCs w:val="14"/>
                <w:b w:val="1"/>
                <w:bCs w:val="1"/>
                <w:color w:val="auto"/>
                <w:w w:val="95"/>
              </w:rPr>
              <w:t>Q2FY09 vs.</w:t>
            </w: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27, 2008</w:t>
            </w:r>
          </w:p>
        </w:tc>
        <w:tc>
          <w:tcPr>
            <w:tcW w:w="140" w:type="dxa"/>
            <w:vAlign w:val="bottom"/>
          </w:tcPr>
          <w:p>
            <w:pPr>
              <w:spacing w:after="0"/>
              <w:rPr>
                <w:sz w:val="12"/>
                <w:szCs w:val="12"/>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29, 2007</w:t>
            </w:r>
          </w:p>
        </w:tc>
        <w:tc>
          <w:tcPr>
            <w:tcW w:w="118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20" w:type="dxa"/>
            <w:vAlign w:val="bottom"/>
            <w:gridSpan w:val="3"/>
          </w:tcPr>
          <w:p>
            <w:pPr>
              <w:jc w:val="center"/>
              <w:ind w:right="345"/>
              <w:spacing w:after="0"/>
              <w:rPr>
                <w:sz w:val="20"/>
                <w:szCs w:val="20"/>
                <w:color w:val="auto"/>
              </w:rPr>
            </w:pPr>
            <w:r>
              <w:rPr>
                <w:rFonts w:ascii="Arial" w:cs="Arial" w:eastAsia="Arial" w:hAnsi="Arial"/>
                <w:sz w:val="14"/>
                <w:szCs w:val="14"/>
                <w:b w:val="1"/>
                <w:bCs w:val="1"/>
                <w:color w:val="auto"/>
                <w:w w:val="99"/>
              </w:rPr>
              <w:t>Q2FY08</w:t>
            </w: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 and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8,689</w:t>
            </w:r>
          </w:p>
        </w:tc>
        <w:tc>
          <w:tcPr>
            <w:tcW w:w="14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98"/>
              </w:rPr>
              <w:t>14.5%  $</w:t>
            </w: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20,249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18,845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8,853</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6,833</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520" w:type="dxa"/>
            <w:vAlign w:val="bottom"/>
            <w:gridSpan w:val="2"/>
          </w:tcPr>
          <w:p>
            <w:pPr>
              <w:ind w:left="920"/>
              <w:spacing w:after="0"/>
              <w:rPr>
                <w:sz w:val="20"/>
                <w:szCs w:val="20"/>
                <w:color w:val="auto"/>
              </w:rPr>
            </w:pPr>
            <w:r>
              <w:rPr>
                <w:rFonts w:ascii="Arial" w:cs="Arial" w:eastAsia="Arial" w:hAnsi="Arial"/>
                <w:sz w:val="18"/>
                <w:szCs w:val="18"/>
                <w:color w:val="auto"/>
              </w:rPr>
              <w:t>17,142</w:t>
            </w:r>
          </w:p>
        </w:tc>
        <w:tc>
          <w:tcPr>
            <w:tcW w:w="140" w:type="dxa"/>
            <w:vAlign w:val="bottom"/>
          </w:tcPr>
          <w:p>
            <w:pPr>
              <w:spacing w:after="0"/>
              <w:rPr>
                <w:sz w:val="18"/>
                <w:szCs w:val="18"/>
                <w:color w:val="auto"/>
              </w:rPr>
            </w:pPr>
          </w:p>
        </w:tc>
        <w:tc>
          <w:tcPr>
            <w:tcW w:w="1520" w:type="dxa"/>
            <w:vAlign w:val="bottom"/>
            <w:gridSpan w:val="2"/>
          </w:tcPr>
          <w:p>
            <w:pPr>
              <w:ind w:left="920"/>
              <w:spacing w:after="0"/>
              <w:rPr>
                <w:sz w:val="20"/>
                <w:szCs w:val="20"/>
                <w:color w:val="auto"/>
              </w:rPr>
            </w:pPr>
            <w:r>
              <w:rPr>
                <w:rFonts w:ascii="Arial" w:cs="Arial" w:eastAsia="Arial" w:hAnsi="Arial"/>
                <w:sz w:val="18"/>
                <w:szCs w:val="18"/>
                <w:color w:val="auto"/>
              </w:rPr>
              <w:t>13,801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w w:val="79"/>
              </w:rPr>
              <w:t>21.1</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w w:val="83"/>
              </w:rPr>
              <w:t>37,391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w w:val="83"/>
              </w:rPr>
              <w:t>32,646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Our software and services revenues include revenue from software sales and services revenues derived from repairs performed under preventive maintenance contracts or emergency service visits, spare part sales, and various service and training programs.</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Software solutions and services revenues increased 14.5% for the second quarter and 7.5% for the first six months as compared to the same periods of fiscal year 2008. Software solutions revenues increased 41.2% and 34.3% as compared to the second quarter and first six months of fiscal year 2008, respectively. Foreign exchange did not impact the results as sales were primarily in U.S. dollars. The increase was driven by increased sales to commercial plasma customers. Services revenues declined 21.9% and 27.7% as compared to the second quarter and first six months of fiscal year 2008, respectively. Without foreign exchange, revenues decreased by 22.0% and 34.8% for the second quarter and first six months of fiscal year 2009 as compared to the same periods in fiscal year 2008. The decrease in revenues is primarily due to the completion of a non-recurring consulting contract in North America where service was performed through the first six months of fiscal year 2008 and was completed toward the end of fiscal year 2008.</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from equipment sales increased 29.6% as compared to the second quarter of fiscal year 2008 and 24.2% for the first six months compared to that of fiscal year 2008. Foreign exchange resulted in a 4.9% increase in equipment revenue during the quarter and 5.5% increase for the first six months. The remaining increase of 24.7% for the quarter and 18.7% for the first six months over the same periods of fiscal year 2008 relates to platelet equipment sales primarily in distribution markets and cell processing equipment to military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For the three months ended</w:t>
            </w:r>
          </w:p>
        </w:tc>
        <w:tc>
          <w:tcPr>
            <w:tcW w:w="10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For the six months ended</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September 27,</w:t>
            </w:r>
          </w:p>
        </w:tc>
        <w:tc>
          <w:tcPr>
            <w:tcW w:w="100" w:type="dxa"/>
            <w:vAlign w:val="bottom"/>
          </w:tcPr>
          <w:p>
            <w:pPr>
              <w:spacing w:after="0"/>
              <w:rPr>
                <w:sz w:val="10"/>
                <w:szCs w:val="10"/>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September 29,</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September 29,</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Q2FY09 vs.</w:t>
            </w: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21"/>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Q2FY08</w:t>
            </w: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59,889</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24.7%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147,726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121,383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 Margin</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49.4%</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49.9%</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Gross profit increased 24.7% and 21.7%, respectively, as compared to the second quarter and first six months of fiscal year 2008. Foreign exchange resulted in an increase in gross profit of 9.2% for the quarter and 7.3% for the first six months as compared to fiscal year 2008. The remaining increase of 15.5% for the quarter and 14.4% for the first six months was due primarily to the net increase in sales. Gross margin percent improved 100 basis points for the first six months of fiscal year 2009 as compared to the same period of fiscal year 2008. Of the gross margin percent improvement, 90 basis points resulted from foreign exchange impact. Without the effect of foreign exchange, the improvement can be attributed to price increases and the growth of our higher margin TEG business, offset by higher raw material costs and change in product mix due to the exceptionally strong revenue growth in our lower margin plasma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For the three months ended</w:t>
            </w:r>
          </w:p>
        </w:tc>
        <w:tc>
          <w:tcPr>
            <w:tcW w:w="10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3"/>
              </w:rPr>
              <w:t>For the six months ended</w:t>
            </w:r>
          </w:p>
        </w:tc>
        <w:tc>
          <w:tcPr>
            <w:tcW w:w="11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 /</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 /</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September 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September 29,</w:t>
            </w: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3"/>
              </w:rPr>
              <w:t>September 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September 29,</w:t>
            </w: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Q2FY09 vs.</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6"/>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Q2FY08</w:t>
            </w:r>
          </w:p>
        </w:tc>
        <w:tc>
          <w:tcPr>
            <w:tcW w:w="120" w:type="dxa"/>
            <w:vAlign w:val="bottom"/>
          </w:tcPr>
          <w:p>
            <w:pPr>
              <w:spacing w:after="0"/>
              <w:rPr>
                <w:sz w:val="14"/>
                <w:szCs w:val="14"/>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of net revenues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45,863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38,546</w:t>
            </w:r>
          </w:p>
        </w:tc>
        <w:tc>
          <w:tcPr>
            <w:tcW w:w="14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93,722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77,985</w:t>
            </w:r>
          </w:p>
        </w:tc>
        <w:tc>
          <w:tcPr>
            <w:tcW w:w="14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of net revenues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51,080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45,273</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104,783</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90,988</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37.4%</w:t>
            </w: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37.4%</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Research and development expenses decreased 22.4% as compared to the same quarter of fiscal year 2008 and 14.9% for the first six months of fiscal year 2008. The significant factors in the decrease for the quarter and the first six months are lower spending in certain core technology projects partly offset by</w:t>
      </w:r>
    </w:p>
    <w:p>
      <w:pPr>
        <w:sectPr>
          <w:pgSz w:w="11900" w:h="16838" w:orient="portrait"/>
          <w:cols w:equalWidth="0" w:num="1">
            <w:col w:w="11420"/>
          </w:cols>
          <w:pgMar w:left="240" w:top="125" w:right="239" w:bottom="0" w:gutter="0" w:footer="0" w:header="0"/>
        </w:sectPr>
      </w:pPr>
    </w:p>
    <w:bookmarkStart w:id="19" w:name="page20"/>
    <w:bookmarkEnd w:id="19"/>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increased research and development investments in the Arryx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Selling, general and administrative expenses increased 19.0% in the second quarter of fiscal year 2008 and 20.2% for the first six months of fiscal year 2008 as compared to the comparable periods of fiscal year 2007. Foreign exchange resulted in a 5.2% increase in selling, general and administrative during the quarter and a 6.0% increase during the first six months. Excluding the impact of foreign exchange, selling, general and administrative expense increased 13.8% for the second quarter and 14.2% for the first six months as compared to the comparable periods in fiscal year 2007. The increase was due largely to</w:t>
      </w:r>
    </w:p>
    <w:p>
      <w:pPr>
        <w:spacing w:after="0" w:line="2"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expenses brought on from recent acquisitions of the TEG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Thrombelastograph</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Hemostasis Analyzer business, Medicell, and Infonalé (blood management consulting services business) that had not been reflected in the second quarter and first six months of fiscal year 2008 and increased employee performance based compensation expense in the second quarter and first six months of fiscal year 2009 based on strong Company performance versus pre-established targets .</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For the three months ended</w:t>
            </w:r>
          </w:p>
        </w:tc>
        <w:tc>
          <w:tcPr>
            <w:tcW w:w="10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For the six months ended</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1"/>
              </w:rPr>
              <w:t>September 27,</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September 29,</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1"/>
              </w:rPr>
              <w:t>September 29,</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Q2FY09 vs.</w:t>
            </w: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81"/>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9"/>
              </w:rPr>
              <w:t>Q2FY08</w:t>
            </w:r>
          </w:p>
        </w:tc>
        <w:tc>
          <w:tcPr>
            <w:tcW w:w="1060" w:type="dxa"/>
            <w:vAlign w:val="bottom"/>
          </w:tcPr>
          <w:p>
            <w:pPr>
              <w:jc w:val="right"/>
              <w:ind w:right="359"/>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79"/>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23,609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14,616</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61.5%  $</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42,943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30,395</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of net revenues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12.1%</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14.8%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Operating income increased 61.5% and 41.3%, respectively, as compared to the second quarter and first six months of fiscal year 2008. Foreign exchange resulted in a 27.2% increase in operating income during the quarter and 14.7% increase during the first six months. Without the effects of foreign currency, operating income increased 34.3% for the quarter and 26.6% for the first six months due primarily to sales and gross profit growth, partially offset by increases in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For the three months ended</w:t>
            </w:r>
          </w:p>
        </w:tc>
        <w:tc>
          <w:tcPr>
            <w:tcW w:w="10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1"/>
              </w:rPr>
              <w:t>For the six months ended</w:t>
            </w:r>
          </w:p>
        </w:tc>
        <w:tc>
          <w:tcPr>
            <w:tcW w:w="10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September 27,</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September 29,</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 Decrease</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w w:val="91"/>
              </w:rPr>
              <w:t>September 27,</w:t>
            </w:r>
          </w:p>
        </w:tc>
        <w:tc>
          <w:tcPr>
            <w:tcW w:w="120" w:type="dxa"/>
            <w:vAlign w:val="bottom"/>
          </w:tcPr>
          <w:p>
            <w:pPr>
              <w:spacing w:after="0"/>
              <w:rPr>
                <w:sz w:val="10"/>
                <w:szCs w:val="10"/>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September 29,</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 Decrease</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Q2FY09 vs.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Q2FY08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1,414</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8"/>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3,317</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w w:val="90"/>
              </w:rPr>
              <w:t>Total other income/(expense),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(800)</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1,992</w:t>
            </w: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ind w:right="208"/>
              <w:spacing w:after="0"/>
              <w:rPr>
                <w:sz w:val="20"/>
                <w:szCs w:val="20"/>
                <w:color w:val="auto"/>
              </w:rPr>
            </w:pPr>
            <w:r>
              <w:rPr>
                <w:rFonts w:ascii="Arial" w:cs="Arial" w:eastAsia="Arial" w:hAnsi="Arial"/>
                <w:sz w:val="18"/>
                <w:szCs w:val="18"/>
                <w:b w:val="1"/>
                <w:bCs w:val="1"/>
                <w:color w:val="auto"/>
              </w:rPr>
              <w:t>205</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4,645</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340" w:type="dxa"/>
            <w:vAlign w:val="bottom"/>
          </w:tcPr>
          <w:p>
            <w:pPr>
              <w:ind w:left="160"/>
              <w:spacing w:after="0"/>
              <w:rPr>
                <w:sz w:val="20"/>
                <w:szCs w:val="20"/>
                <w:color w:val="auto"/>
              </w:rPr>
            </w:pPr>
            <w:r>
              <w:rPr>
                <w:rFonts w:ascii="Arial" w:cs="Arial" w:eastAsia="Arial" w:hAnsi="Arial"/>
                <w:sz w:val="18"/>
                <w:szCs w:val="18"/>
                <w:b w:val="1"/>
                <w:bCs w:val="1"/>
                <w:color w:val="auto"/>
              </w:rPr>
              <w:t>net</w:t>
            </w:r>
          </w:p>
        </w:tc>
        <w:tc>
          <w:tcPr>
            <w:tcW w:w="42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(140.2)%</w:t>
            </w:r>
          </w:p>
        </w:tc>
        <w:tc>
          <w:tcPr>
            <w:tcW w:w="18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Arial" w:cs="Arial" w:eastAsia="Arial" w:hAnsi="Arial"/>
                <w:sz w:val="18"/>
                <w:szCs w:val="18"/>
                <w:i w:val="1"/>
                <w:iCs w:val="1"/>
                <w:color w:val="auto"/>
              </w:rPr>
              <w:t>% of net revenues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Total other income, net decreased 140.2% during the second quarter of fiscal year 2009 as compared to the second quarter of fiscal year 2008 and decreased 95.6% during the six month periods of fiscal year 2009 as compared to the six month periods of fiscal year 2008 due to the net of the (i) decrease in interest income due to lower interest rates and lower invested cash resulting from acquisitions and the Company’s share repurchase program, (ii) decrease in interest expense resulting from lower average fixed rate debt outstanding, and (iii) increase in other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expense associated with hedge points on forward contracts. Points on forward contracts are amounts, either expensed or earned, based on the interest rate differential between two foreign currencies in a forward hedge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37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For the three months ended</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w w:val="90"/>
              </w:rPr>
              <w:t>For the six months ended</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September 27, 2008</w:t>
            </w:r>
          </w:p>
        </w:tc>
        <w:tc>
          <w:tcPr>
            <w:tcW w:w="1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September 29, 2007</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Q2FY09 vs.</w:t>
            </w:r>
          </w:p>
        </w:tc>
        <w:tc>
          <w:tcPr>
            <w:tcW w:w="1880" w:type="dxa"/>
            <w:vAlign w:val="bottom"/>
            <w:gridSpan w:val="2"/>
            <w:vMerge w:val="restart"/>
          </w:tcPr>
          <w:p>
            <w:pPr>
              <w:jc w:val="right"/>
              <w:ind w:right="408"/>
              <w:spacing w:after="0"/>
              <w:rPr>
                <w:sz w:val="20"/>
                <w:szCs w:val="20"/>
                <w:color w:val="auto"/>
              </w:rPr>
            </w:pPr>
            <w:r>
              <w:rPr>
                <w:rFonts w:ascii="Arial" w:cs="Arial" w:eastAsia="Arial" w:hAnsi="Arial"/>
                <w:sz w:val="14"/>
                <w:szCs w:val="14"/>
                <w:b w:val="1"/>
                <w:bCs w:val="1"/>
                <w:color w:val="auto"/>
              </w:rPr>
              <w:t>September 27, 2008</w:t>
            </w: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September 29, 2007</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Q2FY08</w:t>
            </w:r>
          </w:p>
        </w:tc>
        <w:tc>
          <w:tcPr>
            <w:tcW w:w="188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182"/>
        </w:trPr>
        <w:tc>
          <w:tcPr>
            <w:tcW w:w="1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i w:val="1"/>
                <w:iCs w:val="1"/>
                <w:color w:val="auto"/>
              </w:rPr>
              <w:t>Reported</w:t>
            </w:r>
          </w:p>
        </w:tc>
        <w:tc>
          <w:tcPr>
            <w:tcW w:w="15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Income Tax</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Rate</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32.4%</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reported tax rate includes two principal components: an annual effective tax rate and discrete items that are recorded in the quarter that an event occurs.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Events or items that give rise to discrete recognition include finalizing audit examinations for open tax years and a statute of limitation’s expiration.</w:t>
      </w:r>
    </w:p>
    <w:p>
      <w:pPr>
        <w:spacing w:after="0" w:line="22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reported tax rates were 35.1% and 32.4% for the three and six month periods ended September 27, 2008. The reported tax rates were 32.8% and 32.0% for the three and six month period ended September 29, 2007. The reported tax rate for the six month periods ended September 27, 2008 and September 29, 2007 included discrete tax benefits or $1.1 million and $0.9 million, respectively, pertaining to the reversal of reserves for uncertain tax benefits pertaining to transfer pricing as a result of the expiration of the statute of limitations in Japan.</w:t>
      </w:r>
    </w:p>
    <w:p>
      <w:pPr>
        <w:sectPr>
          <w:pgSz w:w="11900" w:h="16885" w:orient="portrait"/>
          <w:cols w:equalWidth="0" w:num="1">
            <w:col w:w="11420"/>
          </w:cols>
          <w:pgMar w:left="240" w:top="125" w:right="239" w:bottom="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For the three and six months ended September 27, 2008, the reported tax rate includes a 35.1% annual effective tax rate. The annual effective tax rate reflects the expiration of federal research and development credits and a shift away from investing in tax-exempt interest bearing assets. On October 3, 2008, a law was enacted that reinstated the federal research and development credit that will provide a beneficial impact on the rate to be reflected in the third quarter of fiscal year 2009.</w:t>
      </w:r>
    </w:p>
    <w:p>
      <w:pPr>
        <w:spacing w:after="0" w:line="18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As of March 29, 2008, our unrecognized tax benefits totaled approximately $5.2 million which, if recognized, would favorably affect our effective tax rate in future periods. Each year the statute of limitations for income tax returns filed in various jurisdictions closes, sometimes without adjustments. In addition to the expiration of the statute of limitations in Japan during the six months ended September 27, 2008, approximately $1.1 million of unrecognized tax benefits may be recognized through the end of the fiscal year. Total unrecognized tax benefits on September 27, 2008 were $4.3 million.</w:t>
      </w:r>
    </w:p>
    <w:p>
      <w:pPr>
        <w:spacing w:after="0" w:line="15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Our historic practice has been and continues to be to recognize interest and penalties related to federal, state, and foreign income tax matters in income tax expense. Approximately $0.9 million and $0.8 million are accrued for interest at September 27, 2008 and March 29, 2008, respectively.</w:t>
      </w:r>
    </w:p>
    <w:p>
      <w:pPr>
        <w:spacing w:after="0" w:line="14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right"/>
              <w:ind w:right="354"/>
              <w:spacing w:after="0"/>
              <w:rPr>
                <w:sz w:val="20"/>
                <w:szCs w:val="20"/>
                <w:color w:val="auto"/>
              </w:rPr>
            </w:pPr>
            <w:r>
              <w:rPr>
                <w:rFonts w:ascii="Arial" w:cs="Arial" w:eastAsia="Arial" w:hAnsi="Arial"/>
                <w:sz w:val="14"/>
                <w:szCs w:val="14"/>
                <w:b w:val="1"/>
                <w:bCs w:val="1"/>
                <w:color w:val="auto"/>
                <w:w w:val="97"/>
              </w:rPr>
              <w:t>September 27, 2008</w:t>
            </w:r>
          </w:p>
        </w:tc>
        <w:tc>
          <w:tcPr>
            <w:tcW w:w="40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29, 2008</w:t>
            </w:r>
          </w:p>
        </w:tc>
      </w:tr>
      <w:tr>
        <w:trPr>
          <w:trHeight w:val="142"/>
        </w:trPr>
        <w:tc>
          <w:tcPr>
            <w:tcW w:w="4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gridSpan w:val="3"/>
          </w:tcPr>
          <w:p>
            <w:pPr>
              <w:jc w:val="right"/>
              <w:ind w:right="1173"/>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111,331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133,553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Working capital</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254,282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261,757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cash position (1)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97,579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121,190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Net cash position is the sum of cash and cash equivalents less total debt.</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primary sources of capital include cash and cash equivalents, internally generated cash flows, bank borrowings and option exercises. We believe these sources to be sufficient to fund our requirements, which are primarily capital expenditures and acquisitions, new business and product development, and working capital for at least the next twelve months.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September 27, 2008</w:t>
            </w:r>
          </w:p>
        </w:tc>
        <w:tc>
          <w:tcPr>
            <w:tcW w:w="160" w:type="dxa"/>
            <w:vAlign w:val="bottom"/>
          </w:tcPr>
          <w:p>
            <w:pPr>
              <w:spacing w:after="0"/>
              <w:rPr>
                <w:sz w:val="14"/>
                <w:szCs w:val="14"/>
                <w:color w:val="auto"/>
              </w:rPr>
            </w:pPr>
          </w:p>
        </w:tc>
        <w:tc>
          <w:tcPr>
            <w:tcW w:w="1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September 29, 2007</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 Increase /</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4"/>
          </w:tcPr>
          <w:p>
            <w:pPr>
              <w:jc w:val="right"/>
              <w:ind w:right="99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41,777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22,052</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(28,737)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(33,825)</w:t>
            </w:r>
          </w:p>
        </w:tc>
        <w:tc>
          <w:tcPr>
            <w:tcW w:w="16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(69,761)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35,936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(1)</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(decrease) / increase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(22,222</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(74,244</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440" w:hanging="352"/>
        <w:spacing w:after="0" w:line="308" w:lineRule="auto"/>
        <w:tabs>
          <w:tab w:leader="none" w:pos="35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September 27, 2008, the Company repurchased approximately 1,100,000 shares of its common stock for an aggregate purchase price of $60.0 million. This completed a $60.0 million share repurchase program that was announced in May 2008. We reflect stock repurchases in our financial statements on a “trade date” basis and as Authorized Unissued (Haemonetics is a Massachusetts company and under Massachusetts law repurchased shares are treated as authorized but unissued).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increased by $19.7 million in the first six months of fiscal year 2009 as compared to 2008 due primarily to:</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341" w:right="279" w:bottom="32" w:gutter="0" w:footer="0" w:header="0"/>
        </w:sectPr>
      </w:pPr>
    </w:p>
    <w:bookmarkStart w:id="21" w:name="page22"/>
    <w:bookmarkEnd w:id="21"/>
    <w:p>
      <w:pPr>
        <w:spacing w:after="0" w:line="62" w:lineRule="exact"/>
        <w:rPr>
          <w:sz w:val="20"/>
          <w:szCs w:val="20"/>
          <w:color w:val="auto"/>
        </w:rPr>
      </w:pPr>
    </w:p>
    <w:p>
      <w:pPr>
        <w:ind w:left="660" w:right="28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$6.3 million decreased investment in other assets and other long-term liabilities, a $5.3 million increase in net income, a $3.4 million increase in depreciation and amortization over that of the same period last year, a $3.0 million increase in accounts payable and accrued expenses, and a $1.0 million tax benefit from the exercise of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used in investing activities increased by $2.1 million during the first six months of fiscal year 2009 as compared to 2008 due primarily to the $1.5 million increased investment in capital expenditures on property, plant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decreased by $35.9 million in the first six months of fiscal year 2009 as compared to 2008 due primarily to:</w:t>
      </w:r>
    </w:p>
    <w:p>
      <w:pPr>
        <w:spacing w:after="0" w:line="225" w:lineRule="exact"/>
        <w:rPr>
          <w:sz w:val="20"/>
          <w:szCs w:val="20"/>
          <w:color w:val="auto"/>
        </w:rPr>
      </w:pPr>
    </w:p>
    <w:p>
      <w:pPr>
        <w:ind w:left="660" w:right="42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$15.0 million decrease in money spent relating to stock repurchase, a $14.1 million increase in exercise of stock options and tax benefit of stock compensation, and a $6.6 million net increase in short-term revolving credit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Approximately 54% of our sales are generated outside the U.S. in local currencies, yet our reporting currency is the U.S. dollar. Our primary foreign currency exposures in relation to the U.S. dollar are the Japanese Yen and the Euro.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Hedging through the use of forward contracts does not eliminate the volatility of foreign exchange rates, but because we generally enter into forward contracts one year out,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at the available spot rate. Actual spot rate gains and losses on these contracts are recorded in sales, at the same time the underlying transactions being hedged are recorded.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a composite rate index for purposes of measuring, comparatively, the change in foreign currency hedge spot rates from the hedge spot rates of the corresponding period in the prior year. The relative value of currencies in the index is weighted by sales in those currencies. The composite was set at 1.00 based upon the weighted rates at March 31, 1997. The composite rate is presented in the period corresponding to the maturity of the underlying forward contracts.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favorable or (unfavorable) changes are in comparison to the same period of the prior year. A favorable change is presented when we will obtain relatively more U.S. dollars for each of the underlying foreign currencies than we did in the prior period. An unfavorable change is presented when we obtain relatively fewer U.S. dollars for each of the underlying foreign currencies than we did in the prior period. These indexed hedge rates impact sales, and as a result also gross profit, operating income and net income, in our consolidated financial statements. The final impact of currency fluctuations on the results of operations is dependent on the local currency amounts hedged and the actual local currency results.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Composite Index</w:t>
            </w:r>
          </w:p>
        </w:tc>
        <w:tc>
          <w:tcPr>
            <w:tcW w:w="2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Favorable / (Unfavorable)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Hedge Spot Rates</w:t>
            </w:r>
          </w:p>
        </w:tc>
        <w:tc>
          <w:tcPr>
            <w:tcW w:w="2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Change versus Prior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FY2005</w:t>
            </w: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Q1</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0.97</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Q2</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0.99</w:t>
            </w: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Q3</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Q4</w:t>
            </w:r>
          </w:p>
        </w:tc>
        <w:tc>
          <w:tcPr>
            <w:tcW w:w="166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2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0.94</w:t>
            </w:r>
          </w:p>
        </w:tc>
        <w:tc>
          <w:tcPr>
            <w:tcW w:w="220" w:type="dxa"/>
            <w:vAlign w:val="bottom"/>
            <w:vMerge w:val="continue"/>
            <w:shd w:val="clear" w:color="auto" w:fill="CCEEFF"/>
          </w:tcPr>
          <w:p>
            <w:pPr>
              <w:spacing w:after="0"/>
              <w:rPr>
                <w:sz w:val="18"/>
                <w:szCs w:val="18"/>
                <w:color w:val="auto"/>
              </w:rPr>
            </w:pP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FY2006</w:t>
            </w: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Q1</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Q2</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0.91</w:t>
            </w: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Q3</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0.87</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Q4</w:t>
            </w:r>
          </w:p>
        </w:tc>
        <w:tc>
          <w:tcPr>
            <w:tcW w:w="1660" w:type="dxa"/>
            <w:vAlign w:val="bottom"/>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8"/>
                <w:szCs w:val="18"/>
                <w:color w:val="auto"/>
              </w:rPr>
            </w:pP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32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220" w:type="dxa"/>
            <w:vAlign w:val="bottom"/>
            <w:vMerge w:val="continue"/>
            <w:shd w:val="clear" w:color="auto" w:fill="CCEEFF"/>
          </w:tcPr>
          <w:p>
            <w:pPr>
              <w:spacing w:after="0"/>
              <w:rPr>
                <w:sz w:val="18"/>
                <w:szCs w:val="18"/>
                <w:color w:val="auto"/>
              </w:rPr>
            </w:pP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FY2007</w:t>
            </w: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Q1</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Q2</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0.92</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Q3</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0.96</w:t>
            </w: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Q4</w:t>
            </w:r>
          </w:p>
        </w:tc>
        <w:tc>
          <w:tcPr>
            <w:tcW w:w="1660" w:type="dxa"/>
            <w:vAlign w:val="bottom"/>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18"/>
                <w:szCs w:val="18"/>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2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220" w:type="dxa"/>
            <w:vAlign w:val="bottom"/>
            <w:vMerge w:val="continue"/>
            <w:shd w:val="clear" w:color="auto" w:fill="CCEEFF"/>
          </w:tcPr>
          <w:p>
            <w:pPr>
              <w:spacing w:after="0"/>
              <w:rPr>
                <w:sz w:val="18"/>
                <w:szCs w:val="18"/>
                <w:color w:val="auto"/>
              </w:rPr>
            </w:pPr>
          </w:p>
        </w:tc>
        <w:tc>
          <w:tcPr>
            <w:tcW w:w="2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FY2008</w:t>
            </w: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Q1</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Q2</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0.93</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Q3</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0.93</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Q4</w:t>
            </w:r>
          </w:p>
        </w:tc>
        <w:tc>
          <w:tcPr>
            <w:tcW w:w="1660" w:type="dxa"/>
            <w:vAlign w:val="bottom"/>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18"/>
                <w:szCs w:val="18"/>
                <w:color w:val="auto"/>
              </w:rPr>
            </w:pP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32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220" w:type="dxa"/>
            <w:vAlign w:val="bottom"/>
            <w:vMerge w:val="continue"/>
            <w:shd w:val="clear" w:color="auto" w:fill="CCEEFF"/>
          </w:tcPr>
          <w:p>
            <w:pPr>
              <w:spacing w:after="0"/>
              <w:rPr>
                <w:sz w:val="18"/>
                <w:szCs w:val="18"/>
                <w:color w:val="auto"/>
              </w:rPr>
            </w:pP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FY2009</w:t>
            </w: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Q1</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Q2</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Q3</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0.86</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Q4</w:t>
            </w:r>
          </w:p>
        </w:tc>
        <w:tc>
          <w:tcPr>
            <w:tcW w:w="1660" w:type="dxa"/>
            <w:vAlign w:val="bottom"/>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18"/>
                <w:szCs w:val="18"/>
                <w:color w:val="auto"/>
              </w:rPr>
            </w:pP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0.87</w:t>
            </w:r>
          </w:p>
        </w:tc>
        <w:tc>
          <w:tcPr>
            <w:tcW w:w="220" w:type="dxa"/>
            <w:vAlign w:val="bottom"/>
            <w:vMerge w:val="continue"/>
            <w:shd w:val="clear" w:color="auto" w:fill="CCEEFF"/>
          </w:tcPr>
          <w:p>
            <w:pPr>
              <w:spacing w:after="0"/>
              <w:rPr>
                <w:sz w:val="18"/>
                <w:szCs w:val="18"/>
                <w:color w:val="auto"/>
              </w:rPr>
            </w:pP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FY2010</w:t>
            </w:r>
          </w:p>
        </w:tc>
        <w:tc>
          <w:tcPr>
            <w:tcW w:w="32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Q1</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0.77</w:t>
            </w:r>
          </w:p>
        </w:tc>
        <w:tc>
          <w:tcPr>
            <w:tcW w:w="2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60" w:type="dxa"/>
            <w:vAlign w:val="bottom"/>
          </w:tcPr>
          <w:p>
            <w:pPr>
              <w:ind w:left="1960"/>
              <w:spacing w:after="0"/>
              <w:rPr>
                <w:sz w:val="20"/>
                <w:szCs w:val="20"/>
                <w:color w:val="auto"/>
              </w:rPr>
            </w:pPr>
            <w:r>
              <w:rPr>
                <w:rFonts w:ascii="Arial" w:cs="Arial" w:eastAsia="Arial" w:hAnsi="Arial"/>
                <w:sz w:val="18"/>
                <w:szCs w:val="18"/>
                <w:color w:val="auto"/>
              </w:rPr>
              <w:t>Q2</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0.81</w:t>
            </w: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60" w:type="dxa"/>
            <w:vAlign w:val="bottom"/>
          </w:tcPr>
          <w:p>
            <w:pPr>
              <w:jc w:val="right"/>
              <w:ind w:right="93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26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September 2008, the FASB issued FASB Staff Position (FSP) No. 133-1 and FIN 45-4, “Disclosures about Credit Derivatives and Certain Guarantees: An Amendment of FASB Statement No. 133 and FASB Interpretation No. 45”. The FSP is intended to improve disclosures about credit derivatives by requiring more information about the potential adverse effects of changes in credit risk on the financial position, financial performance, and cash flows of the sellers of credit derivatives. It amends FASB Statement No. 133, “Accounting for Derivative Instruments and Hedging Activities”, to require disclosures by sellers of credit derivatives, including credit derivatives embedded in hybrid instruments. The provisions of the FSP that amend Statement 133 and Interpretation 45 are effective for reporting periods (annual or interim) ending after November 15, 2008. We are currently evaluating the potential impact of FSP No. 133-1 and FIN 45-4 on our financial position and results of operations.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May 2008, the FASB issued SFAS No. 162, “The Hierarchy of Generally Accepted Accounting Principles”, which will provide framework for selecting accounting principles to be used in preparing financial statements that are presented in conformity with U.S. generally accepted accounting principles (GAAP) for nongovernmental entities. Prior to the issuance of SFAS No. 162, the GAAP hierarchy was defined in the American Institute of Certified Public Accountants’ (AICPA) Statement on Auditing Standards (SAS) No. 69, “The Meaning of Present Fairly in Conformity With Generally Accepted Accounting Principles</w:t>
      </w:r>
      <w:r>
        <w:rPr>
          <w:rFonts w:ascii="Arial" w:cs="Arial" w:eastAsia="Arial" w:hAnsi="Arial"/>
          <w:sz w:val="17"/>
          <w:szCs w:val="17"/>
          <w:i w:val="1"/>
          <w:iCs w:val="1"/>
          <w:color w:val="auto"/>
        </w:rPr>
        <w:t>”</w:t>
      </w:r>
      <w:r>
        <w:rPr>
          <w:rFonts w:ascii="Arial" w:cs="Arial" w:eastAsia="Arial" w:hAnsi="Arial"/>
          <w:sz w:val="17"/>
          <w:szCs w:val="17"/>
          <w:color w:val="auto"/>
        </w:rPr>
        <w:t>. With the issuance of SFAS No. 162, the GAAP hierarchy for nongovernmental entities will move from auditing literature to accounting literature</w:t>
      </w:r>
      <w:r>
        <w:rPr>
          <w:rFonts w:ascii="Arial" w:cs="Arial" w:eastAsia="Arial" w:hAnsi="Arial"/>
          <w:sz w:val="16"/>
          <w:szCs w:val="16"/>
          <w:color w:val="auto"/>
        </w:rPr>
        <w:t>.</w:t>
      </w:r>
      <w:r>
        <w:rPr>
          <w:rFonts w:ascii="Arial" w:cs="Arial" w:eastAsia="Arial" w:hAnsi="Arial"/>
          <w:sz w:val="17"/>
          <w:szCs w:val="17"/>
          <w:color w:val="auto"/>
        </w:rPr>
        <w:t xml:space="preserve"> SFAS No. 162 will be effective 60 days following the SEC’s approval of the Public Company Accounting Oversight Board (PCAOB) amendments to AU Section 411, “The Meaning of Present Fairly in Conformity With Generally Accepted Accounting Principles”. We are currently evaluating the potential impact of SFAS No. 162 on our financial position and results of operations.</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SFAS No. 161 is effective for any reporting period (annual or quarterly interim) beginning on or after November 15, 2008. We are currently evaluating the potential impact of SFAS No. 161 on our financial position and results of operations. This statement is effective for our fourth quarter interim period ending March 28, 2009 and our 2009 annual financial statements.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2007, the FASB issued SFAS No. 141 (revised 2007), “Business Combinations” (“SFAS 141(R)”). In SFAS 141(R), the FASB retained the fundamental requirements of SFAS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We are currently evaluating the potential impact of SFAS 141(R) on our financial position and results of operations. This statement is effective for our fiscal year 2010.</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 - as equity in the consolidated financial statements. Moreover, SFAS No. 160 eliminates the diversity that currently exists in accounting for transactions between an entity and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noncontrolling interests by requiring they be treated as equity transactions. SFAS No. 160 is effective for annual periods beginning on or after December 15, 2008. We are currently evaluating the potential impact of SFAS No. 160 on our financial position and results of operations. This statement is effective for our fiscal year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w:t>
      </w:r>
    </w:p>
    <w:p>
      <w:pPr>
        <w:sectPr>
          <w:pgSz w:w="11900" w:h="16838" w:orient="portrait"/>
          <w:cols w:equalWidth="0" w:num="1">
            <w:col w:w="11460"/>
          </w:cols>
          <w:pgMar w:left="240" w:top="140" w:right="199" w:bottom="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t>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requirements, the effect of economic and political conditions, the impact of competitive products and pricing, price volatility in petroleum products (plastics are the principal component of our disposables, which are the main source of our revenues),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September 27, 2008, we had the following significant foreign exchange contracts to hedge the anticipated cash flows from forecasted foreign currency denominated sales outstanding: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Hedged</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(BUY) / SELL</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Weighted Spot</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 Forward</w:t>
            </w:r>
          </w:p>
        </w:tc>
        <w:tc>
          <w:tcPr>
            <w:tcW w:w="14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Fair Value</w:t>
            </w:r>
          </w:p>
        </w:tc>
        <w:tc>
          <w:tcPr>
            <w:tcW w:w="200" w:type="dxa"/>
            <w:vAlign w:val="bottom"/>
            <w:vMerge w:val="restart"/>
          </w:tcPr>
          <w:p>
            <w:pPr>
              <w:spacing w:after="0"/>
              <w:rPr>
                <w:sz w:val="14"/>
                <w:szCs w:val="14"/>
                <w:color w:val="auto"/>
              </w:rPr>
            </w:pPr>
          </w:p>
        </w:tc>
        <w:tc>
          <w:tcPr>
            <w:tcW w:w="19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Local Currency</w:t>
            </w:r>
          </w:p>
        </w:tc>
        <w:tc>
          <w:tcPr>
            <w:tcW w:w="220" w:type="dxa"/>
            <w:vAlign w:val="bottom"/>
          </w:tcPr>
          <w:p>
            <w:pPr>
              <w:spacing w:after="0"/>
              <w:rPr>
                <w:sz w:val="14"/>
                <w:szCs w:val="14"/>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Contract Rate</w:t>
            </w:r>
          </w:p>
        </w:tc>
        <w:tc>
          <w:tcPr>
            <w:tcW w:w="2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 Rate</w:t>
            </w:r>
          </w:p>
        </w:tc>
        <w:tc>
          <w:tcPr>
            <w:tcW w:w="20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Euro</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5,500,000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$1.450</w:t>
            </w:r>
          </w:p>
        </w:tc>
        <w:tc>
          <w:tcPr>
            <w:tcW w:w="72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Euro</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9,400,000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72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Euro</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12,800,000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$1.568</w:t>
            </w:r>
          </w:p>
        </w:tc>
        <w:tc>
          <w:tcPr>
            <w:tcW w:w="72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Euro</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11,200,000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$1.489</w:t>
            </w:r>
          </w:p>
        </w:tc>
        <w:tc>
          <w:tcPr>
            <w:tcW w:w="72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Japanese Yen</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800,000,000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720" w:type="dxa"/>
            <w:vAlign w:val="bottom"/>
          </w:tcPr>
          <w:p>
            <w:pPr>
              <w:ind w:left="120"/>
              <w:spacing w:after="0"/>
              <w:rPr>
                <w:sz w:val="20"/>
                <w:szCs w:val="20"/>
                <w:color w:val="auto"/>
              </w:rPr>
            </w:pPr>
            <w:r>
              <w:rPr>
                <w:rFonts w:ascii="Arial" w:cs="Arial" w:eastAsia="Arial" w:hAnsi="Arial"/>
                <w:sz w:val="18"/>
                <w:szCs w:val="18"/>
                <w:color w:val="auto"/>
                <w:w w:val="87"/>
              </w:rPr>
              <w:t>per US$</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Japanese Yen</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1,200,000,000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720" w:type="dxa"/>
            <w:vAlign w:val="bottom"/>
          </w:tcPr>
          <w:p>
            <w:pPr>
              <w:ind w:left="120"/>
              <w:spacing w:after="0"/>
              <w:rPr>
                <w:sz w:val="20"/>
                <w:szCs w:val="20"/>
                <w:color w:val="auto"/>
              </w:rPr>
            </w:pPr>
            <w:r>
              <w:rPr>
                <w:rFonts w:ascii="Arial" w:cs="Arial" w:eastAsia="Arial" w:hAnsi="Arial"/>
                <w:sz w:val="18"/>
                <w:szCs w:val="18"/>
                <w:color w:val="auto"/>
                <w:w w:val="87"/>
              </w:rPr>
              <w:t>per US$</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Japanese Yen</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1,195,000,000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105.3</w:t>
            </w:r>
          </w:p>
        </w:tc>
        <w:tc>
          <w:tcPr>
            <w:tcW w:w="720" w:type="dxa"/>
            <w:vAlign w:val="bottom"/>
          </w:tcPr>
          <w:p>
            <w:pPr>
              <w:ind w:left="120"/>
              <w:spacing w:after="0"/>
              <w:rPr>
                <w:sz w:val="20"/>
                <w:szCs w:val="20"/>
                <w:color w:val="auto"/>
              </w:rPr>
            </w:pPr>
            <w:r>
              <w:rPr>
                <w:rFonts w:ascii="Arial" w:cs="Arial" w:eastAsia="Arial" w:hAnsi="Arial"/>
                <w:sz w:val="18"/>
                <w:szCs w:val="18"/>
                <w:color w:val="auto"/>
                <w:w w:val="87"/>
              </w:rPr>
              <w:t>per US$</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Japanese Yen</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1,116,000,000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107.3</w:t>
            </w:r>
          </w:p>
        </w:tc>
        <w:tc>
          <w:tcPr>
            <w:tcW w:w="720" w:type="dxa"/>
            <w:vAlign w:val="bottom"/>
          </w:tcPr>
          <w:p>
            <w:pPr>
              <w:ind w:left="120"/>
              <w:spacing w:after="0"/>
              <w:rPr>
                <w:sz w:val="20"/>
                <w:szCs w:val="20"/>
                <w:color w:val="auto"/>
              </w:rPr>
            </w:pPr>
            <w:r>
              <w:rPr>
                <w:rFonts w:ascii="Arial" w:cs="Arial" w:eastAsia="Arial" w:hAnsi="Arial"/>
                <w:sz w:val="18"/>
                <w:szCs w:val="18"/>
                <w:color w:val="auto"/>
                <w:w w:val="87"/>
              </w:rPr>
              <w:t>per 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50"/>
              <w:spacing w:after="0"/>
              <w:rPr>
                <w:sz w:val="20"/>
                <w:szCs w:val="20"/>
                <w:color w:val="auto"/>
              </w:rPr>
            </w:pPr>
            <w:r>
              <w:rPr>
                <w:rFonts w:ascii="Arial" w:cs="Arial" w:eastAsia="Arial" w:hAnsi="Arial"/>
                <w:sz w:val="18"/>
                <w:szCs w:val="18"/>
                <w:color w:val="auto"/>
                <w:w w:val="83"/>
              </w:rPr>
              <w:t>$1.448</w:t>
            </w:r>
          </w:p>
        </w:tc>
        <w:tc>
          <w:tcPr>
            <w:tcW w:w="9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(78,140)</w:t>
            </w:r>
          </w:p>
        </w:tc>
        <w:tc>
          <w:tcPr>
            <w:tcW w:w="1840" w:type="dxa"/>
            <w:vAlign w:val="bottom"/>
          </w:tcPr>
          <w:p>
            <w:pPr>
              <w:jc w:val="right"/>
              <w:spacing w:after="0"/>
              <w:rPr>
                <w:sz w:val="20"/>
                <w:szCs w:val="20"/>
                <w:color w:val="auto"/>
              </w:rPr>
            </w:pPr>
            <w:r>
              <w:rPr>
                <w:rFonts w:ascii="Arial" w:cs="Arial" w:eastAsia="Arial" w:hAnsi="Arial"/>
                <w:sz w:val="18"/>
                <w:szCs w:val="18"/>
                <w:color w:val="auto"/>
              </w:rPr>
              <w:t>Oct 2008 - Nov 2008</w:t>
            </w:r>
          </w:p>
        </w:tc>
      </w:tr>
      <w:tr>
        <w:trPr>
          <w:trHeight w:val="216"/>
        </w:trPr>
        <w:tc>
          <w:tcPr>
            <w:tcW w:w="620" w:type="dxa"/>
            <w:vAlign w:val="bottom"/>
          </w:tcPr>
          <w:p>
            <w:pPr>
              <w:jc w:val="right"/>
              <w:ind w:right="50"/>
              <w:spacing w:after="0"/>
              <w:rPr>
                <w:sz w:val="20"/>
                <w:szCs w:val="20"/>
                <w:color w:val="auto"/>
              </w:rPr>
            </w:pPr>
            <w:r>
              <w:rPr>
                <w:rFonts w:ascii="Arial" w:cs="Arial" w:eastAsia="Arial" w:hAnsi="Arial"/>
                <w:sz w:val="18"/>
                <w:szCs w:val="18"/>
                <w:color w:val="auto"/>
                <w:w w:val="83"/>
              </w:rPr>
              <w:t>$1.472</w:t>
            </w:r>
          </w:p>
        </w:tc>
        <w:tc>
          <w:tcPr>
            <w:tcW w:w="9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94,491</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Dec 2008 - Feb 2009</w:t>
            </w:r>
          </w:p>
        </w:tc>
      </w:tr>
      <w:tr>
        <w:trPr>
          <w:trHeight w:val="216"/>
        </w:trPr>
        <w:tc>
          <w:tcPr>
            <w:tcW w:w="620" w:type="dxa"/>
            <w:vAlign w:val="bottom"/>
          </w:tcPr>
          <w:p>
            <w:pPr>
              <w:jc w:val="right"/>
              <w:ind w:right="50"/>
              <w:spacing w:after="0"/>
              <w:rPr>
                <w:sz w:val="20"/>
                <w:szCs w:val="20"/>
                <w:color w:val="auto"/>
              </w:rPr>
            </w:pPr>
            <w:r>
              <w:rPr>
                <w:rFonts w:ascii="Arial" w:cs="Arial" w:eastAsia="Arial" w:hAnsi="Arial"/>
                <w:sz w:val="18"/>
                <w:szCs w:val="18"/>
                <w:color w:val="auto"/>
                <w:w w:val="83"/>
              </w:rPr>
              <w:t>$1.544</w:t>
            </w:r>
          </w:p>
        </w:tc>
        <w:tc>
          <w:tcPr>
            <w:tcW w:w="9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1,046,142</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Mar 2009 - May 2009</w:t>
            </w:r>
          </w:p>
        </w:tc>
      </w:tr>
      <w:tr>
        <w:trPr>
          <w:trHeight w:val="216"/>
        </w:trPr>
        <w:tc>
          <w:tcPr>
            <w:tcW w:w="620" w:type="dxa"/>
            <w:vAlign w:val="bottom"/>
          </w:tcPr>
          <w:p>
            <w:pPr>
              <w:jc w:val="right"/>
              <w:ind w:right="50"/>
              <w:spacing w:after="0"/>
              <w:rPr>
                <w:sz w:val="20"/>
                <w:szCs w:val="20"/>
                <w:color w:val="auto"/>
              </w:rPr>
            </w:pPr>
            <w:r>
              <w:rPr>
                <w:rFonts w:ascii="Arial" w:cs="Arial" w:eastAsia="Arial" w:hAnsi="Arial"/>
                <w:sz w:val="18"/>
                <w:szCs w:val="18"/>
                <w:color w:val="auto"/>
                <w:w w:val="83"/>
              </w:rPr>
              <w:t>$1.464</w:t>
            </w:r>
          </w:p>
        </w:tc>
        <w:tc>
          <w:tcPr>
            <w:tcW w:w="9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101,191</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Jun 2009 - Aug 2009</w:t>
            </w:r>
          </w:p>
        </w:tc>
      </w:tr>
      <w:tr>
        <w:trPr>
          <w:trHeight w:val="216"/>
        </w:trPr>
        <w:tc>
          <w:tcPr>
            <w:tcW w:w="620" w:type="dxa"/>
            <w:vAlign w:val="bottom"/>
          </w:tcPr>
          <w:p>
            <w:pPr>
              <w:jc w:val="right"/>
              <w:ind w:right="50"/>
              <w:spacing w:after="0"/>
              <w:rPr>
                <w:sz w:val="20"/>
                <w:szCs w:val="20"/>
                <w:color w:val="auto"/>
              </w:rPr>
            </w:pPr>
            <w:r>
              <w:rPr>
                <w:rFonts w:ascii="Arial" w:cs="Arial" w:eastAsia="Arial" w:hAnsi="Arial"/>
                <w:sz w:val="18"/>
                <w:szCs w:val="18"/>
                <w:color w:val="auto"/>
              </w:rPr>
              <w:t>108.6</w:t>
            </w:r>
          </w:p>
        </w:tc>
        <w:tc>
          <w:tcPr>
            <w:tcW w:w="940" w:type="dxa"/>
            <w:vAlign w:val="bottom"/>
          </w:tcPr>
          <w:p>
            <w:pPr>
              <w:ind w:left="140"/>
              <w:spacing w:after="0"/>
              <w:rPr>
                <w:sz w:val="20"/>
                <w:szCs w:val="20"/>
                <w:color w:val="auto"/>
              </w:rPr>
            </w:pPr>
            <w:r>
              <w:rPr>
                <w:rFonts w:ascii="Arial" w:cs="Arial" w:eastAsia="Arial" w:hAnsi="Arial"/>
                <w:sz w:val="18"/>
                <w:szCs w:val="18"/>
                <w:color w:val="auto"/>
              </w:rPr>
              <w:t>per 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(201,127)</w:t>
            </w:r>
          </w:p>
        </w:tc>
        <w:tc>
          <w:tcPr>
            <w:tcW w:w="1840" w:type="dxa"/>
            <w:vAlign w:val="bottom"/>
          </w:tcPr>
          <w:p>
            <w:pPr>
              <w:jc w:val="right"/>
              <w:spacing w:after="0"/>
              <w:rPr>
                <w:sz w:val="20"/>
                <w:szCs w:val="20"/>
                <w:color w:val="auto"/>
              </w:rPr>
            </w:pPr>
            <w:r>
              <w:rPr>
                <w:rFonts w:ascii="Arial" w:cs="Arial" w:eastAsia="Arial" w:hAnsi="Arial"/>
                <w:sz w:val="18"/>
                <w:szCs w:val="18"/>
                <w:color w:val="auto"/>
              </w:rPr>
              <w:t>Oct 2008 - Nov 2008</w:t>
            </w:r>
          </w:p>
        </w:tc>
      </w:tr>
      <w:tr>
        <w:trPr>
          <w:trHeight w:val="216"/>
        </w:trPr>
        <w:tc>
          <w:tcPr>
            <w:tcW w:w="620" w:type="dxa"/>
            <w:vAlign w:val="bottom"/>
          </w:tcPr>
          <w:p>
            <w:pPr>
              <w:jc w:val="right"/>
              <w:ind w:right="50"/>
              <w:spacing w:after="0"/>
              <w:rPr>
                <w:sz w:val="20"/>
                <w:szCs w:val="20"/>
                <w:color w:val="auto"/>
              </w:rPr>
            </w:pPr>
            <w:r>
              <w:rPr>
                <w:rFonts w:ascii="Arial" w:cs="Arial" w:eastAsia="Arial" w:hAnsi="Arial"/>
                <w:sz w:val="18"/>
                <w:szCs w:val="18"/>
                <w:color w:val="auto"/>
              </w:rPr>
              <w:t>104.3</w:t>
            </w:r>
          </w:p>
        </w:tc>
        <w:tc>
          <w:tcPr>
            <w:tcW w:w="940" w:type="dxa"/>
            <w:vAlign w:val="bottom"/>
          </w:tcPr>
          <w:p>
            <w:pPr>
              <w:ind w:left="140"/>
              <w:spacing w:after="0"/>
              <w:rPr>
                <w:sz w:val="20"/>
                <w:szCs w:val="20"/>
                <w:color w:val="auto"/>
              </w:rPr>
            </w:pPr>
            <w:r>
              <w:rPr>
                <w:rFonts w:ascii="Arial" w:cs="Arial" w:eastAsia="Arial" w:hAnsi="Arial"/>
                <w:sz w:val="18"/>
                <w:szCs w:val="18"/>
                <w:color w:val="auto"/>
              </w:rPr>
              <w:t>per 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59,746</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Dec 2008 - Feb 2009</w:t>
            </w:r>
          </w:p>
        </w:tc>
      </w:tr>
      <w:tr>
        <w:trPr>
          <w:trHeight w:val="216"/>
        </w:trPr>
        <w:tc>
          <w:tcPr>
            <w:tcW w:w="620" w:type="dxa"/>
            <w:vAlign w:val="bottom"/>
          </w:tcPr>
          <w:p>
            <w:pPr>
              <w:jc w:val="right"/>
              <w:ind w:right="50"/>
              <w:spacing w:after="0"/>
              <w:rPr>
                <w:sz w:val="20"/>
                <w:szCs w:val="20"/>
                <w:color w:val="auto"/>
              </w:rPr>
            </w:pPr>
            <w:r>
              <w:rPr>
                <w:rFonts w:ascii="Arial" w:cs="Arial" w:eastAsia="Arial" w:hAnsi="Arial"/>
                <w:sz w:val="18"/>
                <w:szCs w:val="18"/>
                <w:color w:val="auto"/>
              </w:rPr>
              <w:t>103.3</w:t>
            </w:r>
          </w:p>
        </w:tc>
        <w:tc>
          <w:tcPr>
            <w:tcW w:w="940" w:type="dxa"/>
            <w:vAlign w:val="bottom"/>
          </w:tcPr>
          <w:p>
            <w:pPr>
              <w:ind w:left="140"/>
              <w:spacing w:after="0"/>
              <w:rPr>
                <w:sz w:val="20"/>
                <w:szCs w:val="20"/>
                <w:color w:val="auto"/>
              </w:rPr>
            </w:pPr>
            <w:r>
              <w:rPr>
                <w:rFonts w:ascii="Arial" w:cs="Arial" w:eastAsia="Arial" w:hAnsi="Arial"/>
                <w:sz w:val="18"/>
                <w:szCs w:val="18"/>
                <w:color w:val="auto"/>
              </w:rPr>
              <w:t>per 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94,637</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Mar 2009 - May 2009</w:t>
            </w:r>
          </w:p>
        </w:tc>
      </w:tr>
      <w:tr>
        <w:trPr>
          <w:trHeight w:val="230"/>
        </w:trPr>
        <w:tc>
          <w:tcPr>
            <w:tcW w:w="620" w:type="dxa"/>
            <w:vAlign w:val="bottom"/>
          </w:tcPr>
          <w:p>
            <w:pPr>
              <w:jc w:val="right"/>
              <w:ind w:right="50"/>
              <w:spacing w:after="0"/>
              <w:rPr>
                <w:sz w:val="20"/>
                <w:szCs w:val="20"/>
                <w:color w:val="auto"/>
              </w:rPr>
            </w:pPr>
            <w:r>
              <w:rPr>
                <w:rFonts w:ascii="Arial" w:cs="Arial" w:eastAsia="Arial" w:hAnsi="Arial"/>
                <w:sz w:val="18"/>
                <w:szCs w:val="18"/>
                <w:color w:val="auto"/>
              </w:rPr>
              <w:t>105.2</w:t>
            </w:r>
          </w:p>
        </w:tc>
        <w:tc>
          <w:tcPr>
            <w:tcW w:w="940" w:type="dxa"/>
            <w:vAlign w:val="bottom"/>
          </w:tcPr>
          <w:p>
            <w:pPr>
              <w:ind w:left="140"/>
              <w:spacing w:after="0"/>
              <w:rPr>
                <w:sz w:val="20"/>
                <w:szCs w:val="20"/>
                <w:color w:val="auto"/>
              </w:rPr>
            </w:pPr>
            <w:r>
              <w:rPr>
                <w:rFonts w:ascii="Arial" w:cs="Arial" w:eastAsia="Arial" w:hAnsi="Arial"/>
                <w:sz w:val="18"/>
                <w:szCs w:val="18"/>
                <w:color w:val="auto"/>
              </w:rPr>
              <w:t>per 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(148,633)</w:t>
            </w:r>
          </w:p>
        </w:tc>
        <w:tc>
          <w:tcPr>
            <w:tcW w:w="1840" w:type="dxa"/>
            <w:vAlign w:val="bottom"/>
          </w:tcPr>
          <w:p>
            <w:pPr>
              <w:jc w:val="right"/>
              <w:spacing w:after="0"/>
              <w:rPr>
                <w:sz w:val="20"/>
                <w:szCs w:val="20"/>
                <w:color w:val="auto"/>
              </w:rPr>
            </w:pPr>
            <w:r>
              <w:rPr>
                <w:rFonts w:ascii="Arial" w:cs="Arial" w:eastAsia="Arial" w:hAnsi="Arial"/>
                <w:sz w:val="18"/>
                <w:szCs w:val="18"/>
                <w:color w:val="auto"/>
              </w:rPr>
              <w:t>Jun 2009 - Aug 2009</w:t>
            </w:r>
          </w:p>
        </w:tc>
      </w:tr>
      <w:tr>
        <w:trPr>
          <w:trHeight w:val="210"/>
        </w:trPr>
        <w:tc>
          <w:tcPr>
            <w:tcW w:w="620" w:type="dxa"/>
            <w:vAlign w:val="bottom"/>
          </w:tcPr>
          <w:p>
            <w:pPr>
              <w:jc w:val="right"/>
              <w:ind w:right="5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968,308</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00" w:space="520"/>
            <w:col w:w="5160"/>
          </w:cols>
          <w:pgMar w:left="240" w:top="125" w:right="279" w:bottom="0" w:gutter="0" w:footer="0" w:header="0"/>
          <w:type w:val="continuous"/>
        </w:sectPr>
      </w:pP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$9.5 million increase in the fair value of the forward contracts; whereas a 10% weakening of the US dollar would result in a $10.3 million decrease in the fair value of the forward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 term obligations would pay in the market interest rate environment.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September 27, 2008, the fair value of our long-term debt was approximately $0.8 million higher than the value of the debt reflected on our financial statements. This higher fair market is entirely related to the $5.7 million remaining principal balance of the original $10.0 million, 8.41% real estate mortgage due January, 2016.</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September 27, 2008, the fair value of our long-term debt would change by approximately $0.1 million.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an evaluation, as of September 27, 2008,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w:t>
      </w:r>
    </w:p>
    <w:p>
      <w:pPr>
        <w:spacing w:after="0" w:line="1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 change in the Company’s internal control over financial reporting occurred during the three months ended September 27, 2008 that has materially affected, or is reasonably likely to materially affect, the Company’s internal control over financial reporting.</w:t>
      </w:r>
    </w:p>
    <w:p>
      <w:pPr>
        <w:sectPr>
          <w:pgSz w:w="11900" w:h="16838" w:orient="portrait"/>
          <w:cols w:equalWidth="0" w:num="1">
            <w:col w:w="11380"/>
          </w:cols>
          <w:pgMar w:left="240" w:top="125" w:right="279" w:bottom="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u w:val="single" w:color="auto"/>
          <w:color w:val="auto"/>
        </w:rPr>
        <w:t>Legal Proceedings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29, 2008,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Through September 27, 2008, the Company repurchased 1,100,064 shares of its common stock for an aggregate purchase price of $60.0 million. This completed a $60.0 million share repurchase program that was announced in May 2008. All of the purchases during the quarter were made under the publicly announced program. All purchases were made in the open market. We reflect stock repurchases in our financial statements on a “trade date” basis and as Authorized Unissued (Haemonetics is a Massachusetts company and under Massachusetts law repurchased shares are treated as authorized but unissued).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4"/>
                <w:szCs w:val="14"/>
                <w:color w:val="auto"/>
              </w:rPr>
            </w:pPr>
          </w:p>
        </w:tc>
        <w:tc>
          <w:tcPr>
            <w:tcW w:w="1360" w:type="dxa"/>
            <w:vAlign w:val="bottom"/>
          </w:tcPr>
          <w:p>
            <w:pPr>
              <w:jc w:val="center"/>
              <w:ind w:right="177"/>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Value 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4"/>
              </w:rPr>
              <w:t>Paid per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3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9"/>
              </w:rPr>
              <w:t>Commissions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Repurchased</w:t>
            </w:r>
          </w:p>
        </w:tc>
        <w:tc>
          <w:tcPr>
            <w:tcW w:w="240" w:type="dxa"/>
            <w:vAlign w:val="bottom"/>
          </w:tcPr>
          <w:p>
            <w:pPr>
              <w:spacing w:after="0"/>
              <w:rPr>
                <w:sz w:val="14"/>
                <w:szCs w:val="14"/>
                <w:color w:val="auto"/>
              </w:rPr>
            </w:pPr>
          </w:p>
        </w:tc>
        <w:tc>
          <w:tcPr>
            <w:tcW w:w="136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Commissions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30, 2008 to April 26, 2008</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3"/>
              </w:rPr>
              <w:t>N/A</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April 27, 2008 to May 24, 2008</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295,562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54.57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16,128,367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43,871,633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25, 2008 to June 28, 2008</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219,408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12,693,212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June 29, 2008 to July 26, 2008</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585,094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53.28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31,176,528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27, 2008 to August 23, 2008</w:t>
            </w:r>
          </w:p>
        </w:tc>
        <w:tc>
          <w:tcPr>
            <w:tcW w:w="18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August 23, 2008 to September 27, 2008</w:t>
            </w:r>
          </w:p>
        </w:tc>
        <w:tc>
          <w:tcPr>
            <w:tcW w:w="1840" w:type="dxa"/>
            <w:vAlign w:val="bottom"/>
            <w:gridSpan w:val="2"/>
          </w:tcPr>
          <w:p>
            <w:pPr>
              <w:ind w:left="130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1,100,064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54.54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59,998,107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September 27, 2008, the Company had 25.3 million basic weighted average shares of its Common Stock outstanding.</w:t>
      </w:r>
    </w:p>
    <w:p>
      <w:pPr>
        <w:spacing w:after="0" w:line="23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Defaults upon Senior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31, 2008 the Company held its annual meeting of stockholders. At the meeting, Lawrence C. Best, Richard J. Meelia, and Ronald L.</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Merriman were re-elected as Directors for a term ending in 2011. The voting results were as follows:</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Lawrence C. Best</w:t>
            </w:r>
          </w:p>
        </w:tc>
        <w:tc>
          <w:tcPr>
            <w:tcW w:w="2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 23,277,289</w:t>
            </w:r>
          </w:p>
        </w:tc>
        <w:tc>
          <w:tcPr>
            <w:tcW w:w="1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Withheld</w:t>
            </w:r>
          </w:p>
        </w:tc>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255,787</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Richard J. Meelia</w:t>
            </w:r>
          </w:p>
        </w:tc>
        <w:tc>
          <w:tcPr>
            <w:tcW w:w="2120" w:type="dxa"/>
            <w:vAlign w:val="bottom"/>
          </w:tcPr>
          <w:p>
            <w:pPr>
              <w:ind w:left="540"/>
              <w:spacing w:after="0"/>
              <w:rPr>
                <w:sz w:val="20"/>
                <w:szCs w:val="20"/>
                <w:color w:val="auto"/>
              </w:rPr>
            </w:pPr>
            <w:r>
              <w:rPr>
                <w:rFonts w:ascii="Arial" w:cs="Arial" w:eastAsia="Arial" w:hAnsi="Arial"/>
                <w:sz w:val="18"/>
                <w:szCs w:val="18"/>
                <w:color w:val="auto"/>
              </w:rPr>
              <w:t>For 22,664,171</w:t>
            </w:r>
          </w:p>
        </w:tc>
        <w:tc>
          <w:tcPr>
            <w:tcW w:w="1440" w:type="dxa"/>
            <w:vAlign w:val="bottom"/>
          </w:tcPr>
          <w:p>
            <w:pPr>
              <w:ind w:left="460"/>
              <w:spacing w:after="0"/>
              <w:rPr>
                <w:sz w:val="20"/>
                <w:szCs w:val="20"/>
                <w:color w:val="auto"/>
              </w:rPr>
            </w:pPr>
            <w:r>
              <w:rPr>
                <w:rFonts w:ascii="Arial" w:cs="Arial" w:eastAsia="Arial" w:hAnsi="Arial"/>
                <w:sz w:val="18"/>
                <w:szCs w:val="18"/>
                <w:color w:val="auto"/>
              </w:rPr>
              <w:t>Withheld</w:t>
            </w:r>
          </w:p>
        </w:tc>
        <w:tc>
          <w:tcPr>
            <w:tcW w:w="1480" w:type="dxa"/>
            <w:vAlign w:val="bottom"/>
          </w:tcPr>
          <w:p>
            <w:pPr>
              <w:ind w:left="340"/>
              <w:spacing w:after="0"/>
              <w:rPr>
                <w:sz w:val="20"/>
                <w:szCs w:val="20"/>
                <w:color w:val="auto"/>
              </w:rPr>
            </w:pPr>
            <w:r>
              <w:rPr>
                <w:rFonts w:ascii="Arial" w:cs="Arial" w:eastAsia="Arial" w:hAnsi="Arial"/>
                <w:sz w:val="18"/>
                <w:szCs w:val="18"/>
                <w:color w:val="auto"/>
              </w:rPr>
              <w:t>868,905</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Ronald L. Merriman</w:t>
            </w:r>
          </w:p>
        </w:tc>
        <w:tc>
          <w:tcPr>
            <w:tcW w:w="2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 20,409,736</w:t>
            </w:r>
          </w:p>
        </w:tc>
        <w:tc>
          <w:tcPr>
            <w:tcW w:w="1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Withheld</w:t>
            </w:r>
          </w:p>
        </w:tc>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3,123,340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other members of the Board of Directors whose terms continued after the meeting were: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Serving a Term Ending in 2009 – Ronald G. Gelbman and Brad Nutter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Serving a Term Ending in 2010 – Susan Bartlett Foote, Pedro P. Granadillo, and Mark W. Kroll, Ph.D.</w:t>
      </w:r>
    </w:p>
    <w:p>
      <w:pPr>
        <w:spacing w:after="0" w:line="225" w:lineRule="exact"/>
        <w:rPr>
          <w:sz w:val="20"/>
          <w:szCs w:val="20"/>
          <w:color w:val="auto"/>
        </w:rPr>
      </w:pPr>
    </w:p>
    <w:p>
      <w:pPr>
        <w:ind w:left="640" w:right="80" w:firstLine="18"/>
        <w:spacing w:after="0" w:line="277" w:lineRule="auto"/>
        <w:rPr>
          <w:sz w:val="20"/>
          <w:szCs w:val="20"/>
          <w:color w:val="auto"/>
        </w:rPr>
      </w:pPr>
      <w:r>
        <w:rPr>
          <w:rFonts w:ascii="Arial" w:cs="Arial" w:eastAsia="Arial" w:hAnsi="Arial"/>
          <w:sz w:val="18"/>
          <w:szCs w:val="18"/>
          <w:color w:val="auto"/>
        </w:rPr>
        <w:t>At the meeting, the stockholders voted to approve an amendment of the Haemonetics Corporation 2005 Long-Term Incentive Compensation Plan as described in the accompanying Proxy Statement. The vote was as follows:</w:t>
      </w:r>
    </w:p>
    <w:p>
      <w:pPr>
        <w:spacing w:after="0" w:line="170" w:lineRule="exact"/>
        <w:rPr>
          <w:sz w:val="20"/>
          <w:szCs w:val="20"/>
          <w:color w:val="auto"/>
        </w:rPr>
      </w:pPr>
    </w:p>
    <w:p>
      <w:pPr>
        <w:ind w:left="640"/>
        <w:spacing w:after="0"/>
        <w:tabs>
          <w:tab w:leader="none" w:pos="1600" w:val="left"/>
          <w:tab w:leader="none" w:pos="3100" w:val="left"/>
          <w:tab w:leader="none" w:pos="4360" w:val="left"/>
          <w:tab w:leader="none" w:pos="5800" w:val="left"/>
          <w:tab w:leader="none" w:pos="6840" w:val="left"/>
          <w:tab w:leader="none" w:pos="7960" w:val="left"/>
          <w:tab w:leader="none" w:pos="98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16,152,345</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5,791,459</w:t>
      </w:r>
      <w:r>
        <w:rPr>
          <w:sz w:val="20"/>
          <w:szCs w:val="20"/>
          <w:color w:val="auto"/>
        </w:rPr>
        <w:tab/>
      </w:r>
      <w:r>
        <w:rPr>
          <w:rFonts w:ascii="Arial" w:cs="Arial" w:eastAsia="Arial" w:hAnsi="Arial"/>
          <w:sz w:val="18"/>
          <w:szCs w:val="18"/>
          <w:color w:val="auto"/>
        </w:rPr>
        <w:t>Abstain</w:t>
      </w:r>
      <w:r>
        <w:rPr>
          <w:sz w:val="20"/>
          <w:szCs w:val="20"/>
          <w:color w:val="auto"/>
        </w:rPr>
        <w:tab/>
      </w:r>
      <w:r>
        <w:rPr>
          <w:rFonts w:ascii="Arial" w:cs="Arial" w:eastAsia="Arial" w:hAnsi="Arial"/>
          <w:sz w:val="18"/>
          <w:szCs w:val="18"/>
          <w:color w:val="auto"/>
        </w:rPr>
        <w:t>15,916</w:t>
      </w:r>
      <w:r>
        <w:rPr>
          <w:sz w:val="20"/>
          <w:szCs w:val="20"/>
          <w:color w:val="auto"/>
        </w:rPr>
        <w:tab/>
      </w:r>
      <w:r>
        <w:rPr>
          <w:rFonts w:ascii="Arial" w:cs="Arial" w:eastAsia="Arial" w:hAnsi="Arial"/>
          <w:sz w:val="18"/>
          <w:szCs w:val="18"/>
          <w:color w:val="auto"/>
        </w:rPr>
        <w:t>Broker Non-Vote</w:t>
      </w:r>
      <w:r>
        <w:rPr>
          <w:sz w:val="20"/>
          <w:szCs w:val="20"/>
          <w:color w:val="auto"/>
        </w:rPr>
        <w:tab/>
      </w:r>
      <w:r>
        <w:rPr>
          <w:rFonts w:ascii="Arial" w:cs="Arial" w:eastAsia="Arial" w:hAnsi="Arial"/>
          <w:sz w:val="16"/>
          <w:szCs w:val="16"/>
          <w:color w:val="auto"/>
        </w:rPr>
        <w:t>1,573,356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5258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25895" cy="137160"/>
                    </a:xfrm>
                    <a:prstGeom prst="rect">
                      <a:avLst/>
                    </a:prstGeom>
                    <a:noFill/>
                  </pic:spPr>
                </pic:pic>
              </a:graphicData>
            </a:graphic>
          </wp:anchor>
        </w:drawing>
      </w:r>
    </w:p>
    <w:p>
      <w:pPr>
        <w:spacing w:after="0" w:line="205" w:lineRule="exact"/>
        <w:rPr>
          <w:sz w:val="20"/>
          <w:szCs w:val="20"/>
          <w:color w:val="auto"/>
        </w:rPr>
      </w:pPr>
    </w:p>
    <w:p>
      <w:pPr>
        <w:ind w:left="640" w:right="320" w:firstLine="18"/>
        <w:spacing w:after="0" w:line="277" w:lineRule="auto"/>
        <w:rPr>
          <w:sz w:val="20"/>
          <w:szCs w:val="20"/>
          <w:color w:val="auto"/>
        </w:rPr>
      </w:pPr>
      <w:r>
        <w:rPr>
          <w:rFonts w:ascii="Arial" w:cs="Arial" w:eastAsia="Arial" w:hAnsi="Arial"/>
          <w:sz w:val="18"/>
          <w:szCs w:val="18"/>
          <w:color w:val="auto"/>
        </w:rPr>
        <w:t>At the meeting, the stockholders ratified the selection by the Board of Directors of Ernst &amp; Young LLP as independent public accountants for the current fiscal year. The vote was as follows:</w:t>
      </w:r>
    </w:p>
    <w:p>
      <w:pPr>
        <w:spacing w:after="0" w:line="170" w:lineRule="exact"/>
        <w:rPr>
          <w:sz w:val="20"/>
          <w:szCs w:val="20"/>
          <w:color w:val="auto"/>
        </w:rPr>
      </w:pPr>
    </w:p>
    <w:p>
      <w:pPr>
        <w:ind w:left="640"/>
        <w:spacing w:after="0"/>
        <w:tabs>
          <w:tab w:leader="none" w:pos="1600" w:val="left"/>
          <w:tab w:leader="none" w:pos="3100" w:val="left"/>
          <w:tab w:leader="none" w:pos="4360" w:val="left"/>
          <w:tab w:leader="none" w:pos="5800" w:val="left"/>
          <w:tab w:leader="none" w:pos="6840" w:val="left"/>
          <w:tab w:leader="none" w:pos="7960" w:val="left"/>
          <w:tab w:leader="none" w:pos="98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23,414,927</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112,737</w:t>
      </w:r>
      <w:r>
        <w:rPr>
          <w:sz w:val="20"/>
          <w:szCs w:val="20"/>
          <w:color w:val="auto"/>
        </w:rPr>
        <w:tab/>
      </w:r>
      <w:r>
        <w:rPr>
          <w:rFonts w:ascii="Arial" w:cs="Arial" w:eastAsia="Arial" w:hAnsi="Arial"/>
          <w:sz w:val="18"/>
          <w:szCs w:val="18"/>
          <w:color w:val="auto"/>
        </w:rPr>
        <w:t>Abstain</w:t>
      </w:r>
      <w:r>
        <w:rPr>
          <w:sz w:val="20"/>
          <w:szCs w:val="20"/>
          <w:color w:val="auto"/>
        </w:rPr>
        <w:tab/>
      </w:r>
      <w:r>
        <w:rPr>
          <w:rFonts w:ascii="Arial" w:cs="Arial" w:eastAsia="Arial" w:hAnsi="Arial"/>
          <w:sz w:val="18"/>
          <w:szCs w:val="18"/>
          <w:color w:val="auto"/>
        </w:rPr>
        <w:t>5,412</w:t>
      </w:r>
      <w:r>
        <w:rPr>
          <w:sz w:val="20"/>
          <w:szCs w:val="20"/>
          <w:color w:val="auto"/>
        </w:rPr>
        <w:tab/>
      </w:r>
      <w:r>
        <w:rPr>
          <w:rFonts w:ascii="Arial" w:cs="Arial" w:eastAsia="Arial" w:hAnsi="Arial"/>
          <w:sz w:val="18"/>
          <w:szCs w:val="18"/>
          <w:color w:val="auto"/>
        </w:rPr>
        <w:t>Broker Non-Vote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52589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25895"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ectPr>
          <w:pgSz w:w="11900" w:h="16838" w:orient="portrait"/>
          <w:cols w:equalWidth="0" w:num="1">
            <w:col w:w="11420"/>
          </w:cols>
          <w:pgMar w:left="240" w:top="125" w:right="239" w:bottom="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25" w:lineRule="exact"/>
        <w:rPr>
          <w:sz w:val="20"/>
          <w:szCs w:val="20"/>
          <w:color w:val="auto"/>
        </w:rPr>
      </w:pPr>
    </w:p>
    <w:p>
      <w:pPr>
        <w:ind w:left="2160" w:right="320" w:hanging="863"/>
        <w:spacing w:after="0" w:line="277" w:lineRule="auto"/>
        <w:tabs>
          <w:tab w:leader="none" w:pos="2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Section 302 of Sarbanes-Oxley Act of 2002, of Brad Nutter, Chairman and Chief Executive Officer of the Company</w:t>
      </w:r>
    </w:p>
    <w:p>
      <w:pPr>
        <w:spacing w:after="0" w:line="170" w:lineRule="exact"/>
        <w:rPr>
          <w:sz w:val="20"/>
          <w:szCs w:val="20"/>
          <w:color w:val="auto"/>
        </w:rPr>
      </w:pPr>
    </w:p>
    <w:p>
      <w:pPr>
        <w:ind w:left="2160" w:right="500" w:hanging="863"/>
        <w:spacing w:after="0" w:line="277" w:lineRule="auto"/>
        <w:tabs>
          <w:tab w:leader="none" w:pos="2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Chief Financial Officer and Vice President Business Development of the Company</w:t>
      </w:r>
    </w:p>
    <w:p>
      <w:pPr>
        <w:spacing w:after="0" w:line="170" w:lineRule="exact"/>
        <w:rPr>
          <w:sz w:val="20"/>
          <w:szCs w:val="20"/>
          <w:color w:val="auto"/>
        </w:rPr>
      </w:pPr>
    </w:p>
    <w:p>
      <w:pPr>
        <w:ind w:left="2160" w:right="300" w:hanging="863"/>
        <w:spacing w:after="0" w:line="277" w:lineRule="auto"/>
        <w:tabs>
          <w:tab w:leader="none" w:pos="2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Brad Nutter, Chairman and Chief Executive Officer of the Company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160" w:right="300" w:hanging="863"/>
        <w:spacing w:after="0" w:line="342" w:lineRule="auto"/>
        <w:tabs>
          <w:tab w:leader="none" w:pos="2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United States Code Section 1350, as adopted Pursuant to Section 906 of the Sarbanes-Oxley Act of 2002, of Christopher Lindop, Chief Financial Officer and Vice President Business Development of the Company</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HAEMONETICS CORPORATION</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November 5, 2008</w:t>
            </w:r>
          </w:p>
        </w:tc>
        <w:tc>
          <w:tcPr>
            <w:tcW w:w="200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Brad Nutter</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700" w:type="dxa"/>
            <w:vAlign w:val="bottom"/>
            <w:gridSpan w:val="2"/>
          </w:tcPr>
          <w:p>
            <w:pPr>
              <w:spacing w:after="0" w:line="195" w:lineRule="exact"/>
              <w:rPr>
                <w:sz w:val="20"/>
                <w:szCs w:val="20"/>
                <w:color w:val="auto"/>
              </w:rPr>
            </w:pPr>
            <w:r>
              <w:rPr>
                <w:rFonts w:ascii="Arial" w:cs="Arial" w:eastAsia="Arial" w:hAnsi="Arial"/>
                <w:sz w:val="18"/>
                <w:szCs w:val="18"/>
                <w:color w:val="auto"/>
              </w:rPr>
              <w:t>Brad Nutter, Chairman and Chief Executive Officer</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November 5, 2008</w:t>
            </w:r>
          </w:p>
        </w:tc>
        <w:tc>
          <w:tcPr>
            <w:tcW w:w="200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Christopher Lindop</w:t>
            </w:r>
          </w:p>
        </w:tc>
        <w:tc>
          <w:tcPr>
            <w:tcW w:w="40" w:type="dxa"/>
            <w:vAlign w:val="bottom"/>
          </w:tcPr>
          <w:p>
            <w:pPr>
              <w:spacing w:after="0"/>
              <w:rPr>
                <w:sz w:val="24"/>
                <w:szCs w:val="24"/>
                <w:color w:val="auto"/>
              </w:rPr>
            </w:pPr>
          </w:p>
        </w:tc>
      </w:tr>
      <w:tr>
        <w:trPr>
          <w:trHeight w:val="201"/>
        </w:trPr>
        <w:tc>
          <w:tcPr>
            <w:tcW w:w="3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rPr>
              <w:t>Christopher Lindop</w:t>
            </w:r>
            <w:r>
              <w:rPr>
                <w:rFonts w:ascii="Arial" w:cs="Arial" w:eastAsia="Arial" w:hAnsi="Arial"/>
                <w:sz w:val="17"/>
                <w:szCs w:val="17"/>
                <w:color w:val="auto"/>
              </w:rPr>
              <w:t>, Chief Financial Officer and Vice</w:t>
            </w:r>
          </w:p>
        </w:tc>
        <w:tc>
          <w:tcPr>
            <w:tcW w:w="40" w:type="dxa"/>
            <w:vAlign w:val="bottom"/>
          </w:tcPr>
          <w:p>
            <w:pPr>
              <w:spacing w:after="0"/>
              <w:rPr>
                <w:sz w:val="17"/>
                <w:szCs w:val="17"/>
                <w:color w:val="auto"/>
              </w:rPr>
            </w:pPr>
          </w:p>
        </w:tc>
      </w:tr>
      <w:tr>
        <w:trPr>
          <w:trHeight w:val="222"/>
        </w:trPr>
        <w:tc>
          <w:tcPr>
            <w:tcW w:w="3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President Business Development (Principal Financial Officer)</w:t>
            </w:r>
          </w:p>
        </w:tc>
        <w:tc>
          <w:tcPr>
            <w:tcW w:w="40" w:type="dxa"/>
            <w:vAlign w:val="bottom"/>
          </w:tcPr>
          <w:p>
            <w:pPr>
              <w:spacing w:after="0"/>
              <w:rPr>
                <w:sz w:val="19"/>
                <w:szCs w:val="19"/>
                <w:color w:val="auto"/>
              </w:rPr>
            </w:pPr>
          </w:p>
        </w:tc>
      </w:tr>
      <w:tr>
        <w:trPr>
          <w:trHeight w:val="434"/>
        </w:trPr>
        <w:tc>
          <w:tcPr>
            <w:tcW w:w="3720" w:type="dxa"/>
            <w:vAlign w:val="bottom"/>
          </w:tcPr>
          <w:p>
            <w:pPr>
              <w:spacing w:after="0"/>
              <w:rPr>
                <w:sz w:val="24"/>
                <w:szCs w:val="24"/>
                <w:color w:val="auto"/>
              </w:rPr>
            </w:pPr>
          </w:p>
        </w:tc>
        <w:tc>
          <w:tcPr>
            <w:tcW w:w="2340" w:type="dxa"/>
            <w:vAlign w:val="bottom"/>
            <w:gridSpan w:val="2"/>
          </w:tcPr>
          <w:p>
            <w:pPr>
              <w:jc w:val="right"/>
              <w:ind w:right="170"/>
              <w:spacing w:after="0"/>
              <w:rPr>
                <w:sz w:val="20"/>
                <w:szCs w:val="20"/>
                <w:color w:val="auto"/>
              </w:rPr>
            </w:pPr>
            <w:r>
              <w:rPr>
                <w:rFonts w:ascii="Arial" w:cs="Arial" w:eastAsia="Arial" w:hAnsi="Arial"/>
                <w:sz w:val="18"/>
                <w:szCs w:val="18"/>
                <w:color w:val="auto"/>
              </w:rPr>
              <w:t>45</w:t>
            </w:r>
          </w:p>
        </w:tc>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53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Brad Nutter,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140" w:hanging="332"/>
        <w:spacing w:after="0" w:line="308" w:lineRule="auto"/>
        <w:tabs>
          <w:tab w:leader="none" w:pos="3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2008</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Brad Nutter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Brad Nutter, 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140" w:hanging="332"/>
        <w:spacing w:after="0" w:line="308" w:lineRule="auto"/>
        <w:tabs>
          <w:tab w:leader="none" w:pos="3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2008</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Lindop</w:t>
      </w:r>
      <w:r>
        <w:rPr>
          <w:rFonts w:ascii="Arial" w:cs="Arial" w:eastAsia="Arial" w:hAnsi="Arial"/>
          <w:sz w:val="17"/>
          <w:szCs w:val="17"/>
          <w:color w:val="auto"/>
        </w:rPr>
        <w:t>, Chief Financial Officer and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Business Development (Principal Financial</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June 28, 2008 as filed with the Securities and Exchange Commission on the date hereof (the “Report”), I, Brad Nutter,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2008</w:t>
      </w:r>
    </w:p>
    <w:p>
      <w:pPr>
        <w:spacing w:after="0" w:line="22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Brad Nutter</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Brad Nutter,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June 28, 2008 as filed with the Securities and Exchange Commission on the date hereof (the “Report”), I, Christopher Lindop, Vice President and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2008</w:t>
      </w:r>
    </w:p>
    <w:p>
      <w:pPr>
        <w:spacing w:after="0" w:line="200" w:lineRule="exact"/>
        <w:rPr>
          <w:sz w:val="20"/>
          <w:szCs w:val="20"/>
          <w:color w:val="auto"/>
        </w:rPr>
      </w:pPr>
    </w:p>
    <w:p>
      <w:pPr>
        <w:spacing w:after="0" w:line="24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Christopher Lindop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-130810</wp:posOffset>
            </wp:positionV>
            <wp:extent cx="36963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Chief Financial Officer and Vice President Business</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Development</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0"/>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2019-12-11T14:53:36Z</dcterms:created>
  <dcterms:modified xsi:type="dcterms:W3CDTF">2019-12-11T14:53:36Z</dcterms:modified>
</cp:coreProperties>
</file>