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December 30,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594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5940" w:type="dxa"/>
            <w:vAlign w:val="bottom"/>
            <w:vMerge w:val="restart"/>
          </w:tcPr>
          <w:p>
            <w:pPr>
              <w:jc w:val="center"/>
              <w:ind w:left="325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5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5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5940" w:type="dxa"/>
            <w:vAlign w:val="bottom"/>
          </w:tcPr>
          <w:p>
            <w:pPr>
              <w:jc w:val="center"/>
              <w:ind w:right="24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5940" w:type="dxa"/>
            <w:vAlign w:val="bottom"/>
          </w:tcPr>
          <w:p>
            <w:pPr>
              <w:jc w:val="center"/>
              <w:ind w:right="24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5" w:lineRule="exact"/>
        <w:rPr>
          <w:sz w:val="24"/>
          <w:szCs w:val="24"/>
          <w:color w:val="auto"/>
        </w:rPr>
      </w:pPr>
    </w:p>
    <w:p>
      <w:pPr>
        <w:jc w:val="center"/>
        <w:ind w:right="220"/>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220"/>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203"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8820" w:space="720"/>
            <w:col w:w="1880"/>
          </w:cols>
          <w:pgMar w:left="240" w:top="225" w:right="23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86" w:lineRule="exact"/>
        <w:rPr>
          <w:sz w:val="24"/>
          <w:szCs w:val="24"/>
          <w:color w:val="auto"/>
        </w:rPr>
      </w:pPr>
    </w:p>
    <w:p>
      <w:pPr>
        <w:sectPr>
          <w:pgSz w:w="11900" w:h="16838" w:orient="portrait"/>
          <w:cols w:equalWidth="0" w:num="2">
            <w:col w:w="2320" w:space="720"/>
            <w:col w:w="8380"/>
          </w:cols>
          <w:pgMar w:left="240" w:top="225" w:right="239" w:bottom="1440" w:gutter="0" w:footer="0" w:header="0"/>
          <w:type w:val="continuous"/>
        </w:sectPr>
      </w:pPr>
    </w:p>
    <w:p>
      <w:pPr>
        <w:ind w:left="8820"/>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ind w:left="882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25" w:right="239" w:bottom="1440" w:gutter="0" w:footer="0" w:header="0"/>
          <w:type w:val="continuous"/>
        </w:sectPr>
      </w:pPr>
    </w:p>
    <w:p>
      <w:pPr>
        <w:spacing w:after="0" w:line="5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20"/>
        <w:spacing w:after="0" w:line="207" w:lineRule="exact"/>
        <w:tabs>
          <w:tab w:leader="none" w:pos="58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February 2, 2018: 53,447,550</w:t>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7"/>
          </w:tcPr>
          <w:p>
            <w:pPr>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6"/>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Unaudited Consolidated Statements of (Loss) Income and Comprehensive (Loss) Income - Three and Nine Months Ended December 30,</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2017 and December 31, 2016</w:t>
              </w:r>
            </w:hyperlink>
          </w:p>
        </w:tc>
        <w:tc>
          <w:tcPr>
            <w:tcW w:w="7720" w:type="dxa"/>
            <w:vAlign w:val="bottom"/>
            <w:tcBorders>
              <w:top w:val="single" w:sz="8" w:color="0000EE"/>
            </w:tcBorders>
            <w:gridSpan w:val="10"/>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84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Consolidated Balance Sheet - December 30, 2017 and Audited Consolidated Balance Sheet - April 1, 2017</w:t>
              </w:r>
            </w:hyperlink>
          </w:p>
        </w:tc>
        <w:tc>
          <w:tcPr>
            <w:tcW w:w="174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4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Cash Flows - Nine Months Ended December 30, 2017 and December 31, 2016</w:t>
              </w:r>
            </w:hyperlink>
          </w:p>
        </w:tc>
        <w:tc>
          <w:tcPr>
            <w:tcW w:w="174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Unaudited Consolidated Financial Statements</w:t>
              </w:r>
            </w:hyperlink>
          </w:p>
        </w:tc>
        <w:tc>
          <w:tcPr>
            <w:tcW w:w="6280" w:type="dxa"/>
            <w:vAlign w:val="bottom"/>
            <w:gridSpan w:val="5"/>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420" w:type="dxa"/>
            <w:vAlign w:val="bottom"/>
          </w:tcPr>
          <w:p>
            <w:pPr>
              <w:spacing w:after="0"/>
              <w:rPr>
                <w:sz w:val="21"/>
                <w:szCs w:val="2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w w:val="90"/>
              </w:rPr>
            </w:pPr>
            <w:hyperlink w:anchor="page18">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3"/>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18</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3"/>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w w:val="91"/>
              </w:rPr>
            </w:pPr>
            <w:hyperlink w:anchor="page32">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OTHER INFORMATION</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10"/>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 Legal Proceedings</w:t>
              </w:r>
            </w:hyperlink>
          </w:p>
        </w:tc>
        <w:tc>
          <w:tcPr>
            <w:tcW w:w="7600" w:type="dxa"/>
            <w:vAlign w:val="bottom"/>
            <w:gridSpan w:val="7"/>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5"/>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1A. Risk Factors</w:t>
              </w:r>
            </w:hyperlink>
          </w:p>
        </w:tc>
        <w:tc>
          <w:tcPr>
            <w:tcW w:w="8260" w:type="dxa"/>
            <w:vAlign w:val="bottom"/>
            <w:gridSpan w:val="12"/>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1"/>
          </w:tcPr>
          <w:p>
            <w:pPr>
              <w:spacing w:after="0"/>
              <w:rPr>
                <w:rFonts w:ascii="Arial" w:cs="Arial" w:eastAsia="Arial" w:hAnsi="Arial"/>
                <w:sz w:val="18"/>
                <w:szCs w:val="18"/>
                <w:b w:val="1"/>
                <w:bCs w:val="1"/>
                <w:color w:val="0000FF"/>
                <w:w w:val="90"/>
              </w:rPr>
            </w:pPr>
            <w:hyperlink w:anchor="page33">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8"/>
          </w:tcPr>
          <w:p>
            <w:pPr>
              <w:spacing w:after="0"/>
              <w:rPr>
                <w:rFonts w:ascii="Arial" w:cs="Arial" w:eastAsia="Arial" w:hAnsi="Arial"/>
                <w:sz w:val="18"/>
                <w:szCs w:val="18"/>
                <w:b w:val="1"/>
                <w:bCs w:val="1"/>
                <w:color w:val="0000FF"/>
                <w:w w:val="91"/>
              </w:rPr>
            </w:pPr>
            <w:hyperlink w:anchor="page34">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6"/>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5. [Removed and Reserved]</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7740" w:type="dxa"/>
            <w:vAlign w:val="bottom"/>
            <w:gridSpan w:val="8"/>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 6. Exhibits</w:t>
              </w:r>
            </w:hyperlink>
          </w:p>
        </w:tc>
        <w:tc>
          <w:tcPr>
            <w:tcW w:w="774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160" w:type="dxa"/>
            <w:vAlign w:val="bottom"/>
            <w:gridSpan w:val="2"/>
          </w:tcPr>
          <w:p>
            <w:pPr>
              <w:spacing w:after="0"/>
              <w:rPr>
                <w:rFonts w:ascii="Arial" w:cs="Arial" w:eastAsia="Arial" w:hAnsi="Arial"/>
                <w:sz w:val="18"/>
                <w:szCs w:val="18"/>
                <w:b w:val="1"/>
                <w:bCs w:val="1"/>
                <w:color w:val="0000EE"/>
                <w:w w:val="96"/>
              </w:rPr>
            </w:pPr>
            <w:hyperlink w:anchor="page36">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9020" w:type="dxa"/>
            <w:vAlign w:val="bottom"/>
            <w:gridSpan w:val="1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420" w:type="dxa"/>
            <w:vAlign w:val="bottom"/>
          </w:tcPr>
          <w:p>
            <w:pPr>
              <w:spacing w:after="0"/>
              <w:rPr>
                <w:sz w:val="24"/>
                <w:szCs w:val="24"/>
                <w:color w:val="auto"/>
              </w:rPr>
            </w:pPr>
          </w:p>
        </w:tc>
      </w:tr>
      <w:tr>
        <w:trPr>
          <w:trHeight w:val="507"/>
        </w:trPr>
        <w:tc>
          <w:tcPr>
            <w:tcW w:w="1160" w:type="dxa"/>
            <w:vAlign w:val="bottom"/>
            <w:tcBorders>
              <w:top w:val="single" w:sz="8" w:color="0000EE"/>
            </w:tcBorders>
            <w:gridSpan w:val="2"/>
          </w:tcPr>
          <w:p>
            <w:pPr>
              <w:spacing w:after="0"/>
              <w:rPr>
                <w:sz w:val="24"/>
                <w:szCs w:val="24"/>
                <w:color w:val="auto"/>
              </w:rPr>
            </w:pPr>
          </w:p>
        </w:tc>
        <w:tc>
          <w:tcPr>
            <w:tcW w:w="6380" w:type="dxa"/>
            <w:vAlign w:val="bottom"/>
            <w:gridSpan w:val="12"/>
          </w:tcPr>
          <w:p>
            <w:pPr>
              <w:jc w:val="right"/>
              <w:ind w:right="182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(LOSS) INCOME AND COMPREHENSIVE (LOSS) INCOME (Unaudited in thousands,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234,043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670,371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658,050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122,748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126,762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362,849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361,667</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111,295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101,079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307,522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296,383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28,235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97,855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71,405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237,499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230,023</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110,282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79,867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265,640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258,258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21,212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41,882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38,125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divestiture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(6,414)</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6,754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12,628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6,839</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15,393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33,692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24,872</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(loss)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0.48</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53,090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51,369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53,090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52,103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53,285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51,671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Comprehensive (loss) income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13,084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39,353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20,888</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30,</w:t>
            </w:r>
          </w:p>
        </w:tc>
        <w:tc>
          <w:tcPr>
            <w:tcW w:w="320" w:type="dxa"/>
            <w:vAlign w:val="bottom"/>
          </w:tcPr>
          <w:p>
            <w:pPr>
              <w:spacing w:after="0"/>
              <w:rPr>
                <w:sz w:val="14"/>
                <w:szCs w:val="14"/>
                <w:color w:val="auto"/>
              </w:rPr>
            </w:pPr>
          </w:p>
        </w:tc>
        <w:tc>
          <w:tcPr>
            <w:tcW w:w="1260" w:type="dxa"/>
            <w:vAlign w:val="bottom"/>
          </w:tcPr>
          <w:p>
            <w:pPr>
              <w:jc w:val="right"/>
              <w:ind w:right="500"/>
              <w:spacing w:after="0"/>
              <w:rPr>
                <w:sz w:val="20"/>
                <w:szCs w:val="20"/>
                <w:color w:val="auto"/>
              </w:rPr>
            </w:pPr>
            <w:r>
              <w:rPr>
                <w:rFonts w:ascii="Arial" w:cs="Arial" w:eastAsia="Arial" w:hAnsi="Arial"/>
                <w:sz w:val="14"/>
                <w:szCs w:val="14"/>
                <w:b w:val="1"/>
                <w:bCs w:val="1"/>
                <w:color w:val="auto"/>
              </w:rPr>
              <w:t>April 1,</w:t>
            </w:r>
          </w:p>
        </w:tc>
      </w:tr>
      <w:tr>
        <w:trPr>
          <w:trHeight w:val="192"/>
        </w:trPr>
        <w:tc>
          <w:tcPr>
            <w:tcW w:w="180" w:type="dxa"/>
            <w:vAlign w:val="bottom"/>
            <w:tcBorders>
              <w:bottom w:val="single" w:sz="8" w:color="CCEEFF"/>
            </w:tcBorders>
          </w:tcPr>
          <w:p>
            <w:pPr>
              <w:spacing w:after="0"/>
              <w:rPr>
                <w:sz w:val="16"/>
                <w:szCs w:val="16"/>
                <w:color w:val="auto"/>
              </w:rPr>
            </w:pPr>
          </w:p>
        </w:tc>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6"/>
        </w:trPr>
        <w:tc>
          <w:tcPr>
            <w:tcW w:w="180" w:type="dxa"/>
            <w:vAlign w:val="bottom"/>
            <w:shd w:val="clear" w:color="auto" w:fill="CCEEFF"/>
          </w:tcPr>
          <w:p>
            <w:pPr>
              <w:spacing w:after="0"/>
              <w:rPr>
                <w:sz w:val="22"/>
                <w:szCs w:val="22"/>
                <w:color w:val="auto"/>
              </w:rPr>
            </w:pPr>
          </w:p>
        </w:tc>
        <w:tc>
          <w:tcPr>
            <w:tcW w:w="79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7"/>
              </w:rPr>
              <w:t>(Unaudited)</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251,591</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139,564</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180" w:type="dxa"/>
            <w:vAlign w:val="bottom"/>
            <w:shd w:val="clear" w:color="auto" w:fill="CCEEFF"/>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less allowance of $2,209 at December 30, 2017 and</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180" w:type="dxa"/>
            <w:vAlign w:val="bottom"/>
            <w:tcBorders>
              <w:bottom w:val="single" w:sz="8" w:color="CCEEFF"/>
            </w:tcBorders>
            <w:shd w:val="clear" w:color="auto" w:fill="CCEEFF"/>
          </w:tcPr>
          <w:p>
            <w:pPr>
              <w:spacing w:after="0"/>
              <w:rPr>
                <w:sz w:val="19"/>
                <w:szCs w:val="19"/>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$2,184 at April 1, 2017</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146,718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152,683</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158,840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176,929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32,564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40,853</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589,713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510,029</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330,026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323,862</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w w:val="97"/>
              </w:rPr>
              <w:t>Intangible assets, less accumulated amortization of $240,851 at December 30, 2017 and $215,772 at April 1, 2017</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163,946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177,540</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211,086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210,841</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Deferred tax asset</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4,510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3,988</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12,449</w:t>
            </w:r>
          </w:p>
        </w:tc>
      </w:tr>
      <w:tr>
        <w:trPr>
          <w:trHeight w:val="284"/>
        </w:trPr>
        <w:tc>
          <w:tcPr>
            <w:tcW w:w="180" w:type="dxa"/>
            <w:vAlign w:val="bottom"/>
            <w:tcBorders>
              <w:bottom w:val="single" w:sz="8" w:color="CCEEFF"/>
            </w:tcBorders>
          </w:tcPr>
          <w:p>
            <w:pPr>
              <w:spacing w:after="0"/>
              <w:rPr>
                <w:sz w:val="24"/>
                <w:szCs w:val="24"/>
                <w:color w:val="auto"/>
              </w:rPr>
            </w:pPr>
          </w:p>
        </w:tc>
        <w:tc>
          <w:tcPr>
            <w:tcW w:w="79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1,311,714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1,238,709</w:t>
            </w:r>
          </w:p>
        </w:tc>
      </w:tr>
      <w:tr>
        <w:trPr>
          <w:trHeight w:val="22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Notes payable and current maturities of long-term 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151,465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61,022</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41,496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42,973</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payroll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63,066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43,534</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68,151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63,650</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324,178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211,179</w:t>
            </w:r>
          </w:p>
        </w:tc>
      </w:tr>
      <w:tr>
        <w:trPr>
          <w:trHeight w:val="217"/>
        </w:trPr>
        <w:tc>
          <w:tcPr>
            <w:tcW w:w="18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Long-term debt, net of current maturities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118,702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253,625</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12,114</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39,599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22,181</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0"/>
        </w:trPr>
        <w:tc>
          <w:tcPr>
            <w:tcW w:w="18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6"/>
                <w:szCs w:val="16"/>
                <w:color w:val="auto"/>
                <w:w w:val="95"/>
              </w:rPr>
              <w:t>Common stock, $0.01 par value; Authorized — 150,000,000 shares; Issued and outstanding — 53,388,089 shares at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18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December 30, 2017 and 52,255,495 shares at April 1, 2017</w:t>
            </w:r>
          </w:p>
        </w:tc>
        <w:tc>
          <w:tcPr>
            <w:tcW w:w="24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523</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525,877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482,044</w:t>
            </w:r>
          </w:p>
        </w:tc>
      </w:tr>
      <w:tr>
        <w:trPr>
          <w:trHeight w:val="237"/>
        </w:trPr>
        <w:tc>
          <w:tcPr>
            <w:tcW w:w="180" w:type="dxa"/>
            <w:vAlign w:val="bottom"/>
          </w:tcPr>
          <w:p>
            <w:pPr>
              <w:spacing w:after="0"/>
              <w:rPr>
                <w:sz w:val="20"/>
                <w:szCs w:val="20"/>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323,608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289,916</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(32,873)</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822,807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739,610</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1,311,714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1,238,709</w:t>
            </w:r>
          </w:p>
        </w:tc>
      </w:tr>
      <w:tr>
        <w:trPr>
          <w:trHeight w:val="20"/>
        </w:trPr>
        <w:tc>
          <w:tcPr>
            <w:tcW w:w="1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3"/>
                <w:szCs w:val="13"/>
                <w:color w:val="auto"/>
              </w:rPr>
            </w:pPr>
          </w:p>
        </w:tc>
        <w:tc>
          <w:tcPr>
            <w:tcW w:w="1340" w:type="dxa"/>
            <w:vAlign w:val="bottom"/>
          </w:tcPr>
          <w:p>
            <w:pPr>
              <w:jc w:val="right"/>
              <w:ind w:right="300"/>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33,692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24,872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67,531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Gain on divestiture</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6,608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11,398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of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3,413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non-cash operating activities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1,216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receivable</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8,204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3,878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(13,960)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prepaid income taxes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868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18,058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20,333</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162,723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125,161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(60,517)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divestiture</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1,773</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(45,069)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(58,744)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Repayment of term loan borrowings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(45,054)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(30,827)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33,239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18,278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short-term loans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(40,975)</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(7,990)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(49,964)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112,027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14,516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139,564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115,123</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251,591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129,639</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5,684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6,058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5,724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5,424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5,081</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right="8960" w:firstLine="8"/>
        <w:spacing w:after="0" w:line="533" w:lineRule="auto"/>
        <w:tabs>
          <w:tab w:leader="none" w:pos="18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ind w:right="60"/>
        <w:spacing w:after="0" w:line="287" w:lineRule="auto"/>
        <w:rPr>
          <w:sz w:val="20"/>
          <w:szCs w:val="20"/>
          <w:color w:val="auto"/>
        </w:rPr>
      </w:pPr>
      <w:r>
        <w:rPr>
          <w:rFonts w:ascii="Arial" w:cs="Arial" w:eastAsia="Arial" w:hAnsi="Arial"/>
          <w:sz w:val="16"/>
          <w:szCs w:val="16"/>
          <w:color w:val="auto"/>
        </w:rPr>
        <w:t>The accompanying unaudited consolidated financial statements of Haemonetics Corporation ("Haemonetics" or the "Company") presented herein have been prepared in accordance with generally accepted accounting principles in the United States of America (“U.S. GAAP”) in the United States for interim financial information and with the instructions to Form 10-Q and Article 10 of Regulation S-X. Accordingly, they do not include all of the information and footnotes required by U.S. GAAP for complete financial statements. In the opinion of our management, all adjustments (consisting of normal recurring adjustments) considered necessary for a fair presentation have been included. All intercompany transactions have been eliminated. Operating results for the nine months ended December 30, 2017 are not necessarily indicative of the results that may be expected for the full fiscal year ending March 31, 2018 or any other interim period. Operating results for the nine months ended December 31, 2016 include an overstatement of net income, which was determined to be immaterial to all periods impacted. Absent this correction, our operating income and net income for the nine months ended December 31, 2016 would have been $0.9 million and $1.2 million lower, respectively, than the amount included in the accompanying consolidated statements of (loss) income and comprehensive (loss) income. These unaudited consolidated financial statements should be read in conjunction with our audited consolidated financial statements and footnotes included in our annual report on Form 10-K for the fiscal year ended April 1, 2017.</w:t>
      </w:r>
    </w:p>
    <w:p>
      <w:pPr>
        <w:spacing w:after="0" w:line="1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We consider events or transactions that occur after the balance sheet date but prior to the issuance of the financial statements to provide additional evidence relative to certain estimates or to identify matters that require additional disclosure. Refer to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information pertaining to an event that occurred after the balance sheet date but prior to the issuance of the financial statements. There were no other subsequent events identified.</w:t>
      </w:r>
    </w:p>
    <w:p>
      <w:pPr>
        <w:spacing w:after="0" w:line="183" w:lineRule="exact"/>
        <w:rPr>
          <w:sz w:val="20"/>
          <w:szCs w:val="20"/>
          <w:color w:val="auto"/>
        </w:rPr>
      </w:pPr>
    </w:p>
    <w:p>
      <w:pPr>
        <w:ind w:right="7320" w:firstLine="8"/>
        <w:spacing w:after="0" w:line="344"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u w:val="single" w:color="auto"/>
          <w:color w:val="auto"/>
        </w:rPr>
        <w:t>Standards Implemented</w:t>
      </w:r>
    </w:p>
    <w:p>
      <w:pPr>
        <w:spacing w:after="0" w:line="18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March 2016, the Financial Accounting Standards Board issued ASU No. 2016-09, </w:t>
      </w:r>
      <w:r>
        <w:rPr>
          <w:rFonts w:ascii="Arial" w:cs="Arial" w:eastAsia="Arial" w:hAnsi="Arial"/>
          <w:sz w:val="17"/>
          <w:szCs w:val="17"/>
          <w:i w:val="1"/>
          <w:iCs w:val="1"/>
          <w:color w:val="auto"/>
        </w:rPr>
        <w:t>Compensation- 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Employee Share-Based Payment Accounting</w:t>
      </w:r>
      <w:r>
        <w:rPr>
          <w:rFonts w:ascii="Arial" w:cs="Arial" w:eastAsia="Arial" w:hAnsi="Arial"/>
          <w:sz w:val="17"/>
          <w:szCs w:val="17"/>
          <w:color w:val="auto"/>
        </w:rPr>
        <w:t>. The purpose of the update is to simplify several areas of the accounting for share-based payment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We adopted ASU No. 2016-09 on a prospective basis in our first quarter of fiscal 2018; therefore, prior periods have not been adjusted. The adoption of ASU No. 2016-09 did not have a material effect on our financial position or results of operations.</w:t>
      </w:r>
    </w:p>
    <w:p>
      <w:pPr>
        <w:spacing w:after="0" w:line="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ASU No. 2016-09 allows a company to elect to account for award forfeitures as they occur or to continue to estimate forfeitures. We have elected to continue to estimate potential forfeitures.</w:t>
      </w:r>
    </w:p>
    <w:p>
      <w:pPr>
        <w:spacing w:after="0" w:line="7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addition, ASU No. 2016-09 eliminates additional paid in capital pools and requires excess tax benefits and tax deficiencies to be recorded in the consolidated statement of operations when the awards vest or are settled. Amendments related to accounting for excess tax benefits resulted in an immaterial tax benefit for the three and nine months ended December 30, 2017. In connection with the adoption of this new standard, we also recorded a cumulative-effect adjustment to retained earnings and deferred tax assets for certain off balance sheet federal and state net operating loss carry-forwards totaling $1.6 million as of April 1, 2017, with an equal offsetting adjustment to the valuation allowance.</w:t>
      </w:r>
    </w:p>
    <w:p>
      <w:pPr>
        <w:spacing w:after="0" w:line="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On December 22, 2017, the Tax Cuts and Jobs Act (the "Act”) was enacted in the United States. The Act reduces the U.S. federal corporate tax rate from 35% to 21%, requires companies to pay a one-time transition tax on earnings of certain foreign subsidiaries that were previously tax deferred and creates new taxes on certain foreign sourced earnings. In December 2017, the Securities and Exchange Commission ("SEC") issued guidance under Staff Accounting Bulletin No. 118, </w:t>
      </w:r>
      <w:r>
        <w:rPr>
          <w:rFonts w:ascii="Arial" w:cs="Arial" w:eastAsia="Arial" w:hAnsi="Arial"/>
          <w:sz w:val="17"/>
          <w:szCs w:val="17"/>
          <w:i w:val="1"/>
          <w:iCs w:val="1"/>
          <w:color w:val="auto"/>
        </w:rPr>
        <w:t>Income Tax Accounting Implications of the Tax Cuts and Jobs Act</w:t>
      </w:r>
      <w:r>
        <w:rPr>
          <w:rFonts w:ascii="Arial" w:cs="Arial" w:eastAsia="Arial" w:hAnsi="Arial"/>
          <w:sz w:val="17"/>
          <w:szCs w:val="17"/>
          <w:color w:val="auto"/>
        </w:rPr>
        <w:t xml:space="preserve"> (“SAB 118”) directing taxpayers to consider the impact of the U.S. legislation as “provisional” when it does not have the necessary information available, prepared or analyzed (including computations) in reasonable detail to complete its accounting for the change in tax law. As of December 30, 2017, we had not yet completed our accounting for the tax effects of the enactment of the Act, however, we have made a reasonable estimate of the effects on our existing deferred tax balances and one-time transition tax. Refer to Note 5, </w:t>
      </w:r>
      <w:r>
        <w:rPr>
          <w:rFonts w:ascii="Arial" w:cs="Arial" w:eastAsia="Arial" w:hAnsi="Arial"/>
          <w:sz w:val="17"/>
          <w:szCs w:val="17"/>
          <w:i w:val="1"/>
          <w:iCs w:val="1"/>
          <w:color w:val="auto"/>
        </w:rPr>
        <w:t>Income Taxes</w:t>
      </w:r>
      <w:r>
        <w:rPr>
          <w:rFonts w:ascii="Arial" w:cs="Arial" w:eastAsia="Arial" w:hAnsi="Arial"/>
          <w:sz w:val="17"/>
          <w:szCs w:val="17"/>
          <w:color w:val="auto"/>
        </w:rPr>
        <w:t>, for additional information regarding this new tax legislation.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3. RESTRUCTURING</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an ongoing basis, we review the global economy, the healthcare industry, and the markets in which we compete to identify opportunities for efficiencies, enhance commercial capabilities, align our resources and offer our customers better solutions. In order to realize these opportunities, we undertake restructuring-type activities to transform our business.</w:t>
      </w:r>
    </w:p>
    <w:p>
      <w:pPr>
        <w:spacing w:after="0" w:line="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November 1, 2017, we launched a Complexity Reduction Initiative (the "2018 Program"), a company-wide restructuring program designed to improve operational performance and reduce cost, freeing up resources to invest in accelerated growth. This program includes a reduction of headcount and operating costs which will enable a more streamlined organizational structure. We expect to incur aggregate charges between $50 million and $60 million associated with these actions, of which we expect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During the three and nine months ended December 30, 2017, we incurred $31.7 million of restructuring and turnaround costs under this program.</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fiscal 2017, we launched a restructuring program (the "2017 Program") designed to reposition our organization and improve our cost structure. During the nine months ended December 30, 2017, we incurred $7.7 million of restructuring and turnaround costs under this program. There were no charges recorded during the three months ended December 30, 2017 under this program. During the three and nine months ended December 31, 2016, we incurred $4.1 million and $22.9 million, respectively, of restructuring and turnaround charges under this program. As of December 30, 2017, charges associated with the 2017 Program were substantially complete.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for restructuring reserves related to the 2018 Program and the 2017 Program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2017, substantially all of which relates to employee severance and other employee costs: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 Program</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 Program</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28,607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29,662</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at December 30,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28,311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31,429</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Restructuring costs for the three months ended December 30, 2017 included as a component of selling, general and administrative expenses and research and development in the accompanying consolidated statements of (loss) income were $24.2 million and $4.3 million, respectively. Restructuring costs for the nine months ended December 30, 2017 included as a component of selling, general and administrative expenses and research and development in the accompanying consolidated statements of (loss) income were $25.1 million and $4.6 million, respectively. As of December 30, 2017, we had a restructuring liability of $31.4 million, of which $24.6 million is payable within the next twelve months.</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addition to the restructuring costs included in the table above, during the three and nine months ended December 30, 2017, we also incurred costs of $2.8 million and $9.9 million, respectively, that do not constitute as restructuring under ASC 420, </w:t>
      </w:r>
      <w:r>
        <w:rPr>
          <w:rFonts w:ascii="Arial" w:cs="Arial" w:eastAsia="Arial" w:hAnsi="Arial"/>
          <w:sz w:val="18"/>
          <w:szCs w:val="18"/>
          <w:i w:val="1"/>
          <w:iCs w:val="1"/>
          <w:color w:val="auto"/>
        </w:rPr>
        <w:t>Exit and Disposal Cost Obligations,</w:t>
      </w:r>
      <w:r>
        <w:rPr>
          <w:rFonts w:ascii="Arial" w:cs="Arial" w:eastAsia="Arial" w:hAnsi="Arial"/>
          <w:sz w:val="18"/>
          <w:szCs w:val="18"/>
          <w:color w:val="auto"/>
        </w:rPr>
        <w:t xml:space="preserve"> which we refer to as turnaround costs. These costs, substantially all of which have been included as a component of selling, general and administrative expenses in the accompanying consolidated statements of (loss) income, consist primarily of expenditures directly related to our restructuring actions and include program management, implementation of outsourcing initiatives and accelerated depreciation.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Restructuring costs</w:t>
            </w: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6"/>
              </w:rPr>
              <w:t>Nine Months Ended</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30, 2017</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2016</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30, 2017</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00" w:type="dxa"/>
            <w:vAlign w:val="bottom"/>
            <w:tcBorders>
              <w:top w:val="single" w:sz="8" w:color="auto"/>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EMEA</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26,979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1,905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28,050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13,722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28,455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2,032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29,662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18,064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Turnaround costs</w:t>
            </w: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6"/>
              </w:rPr>
              <w:t>Nine Months Ended</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30, 2017</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30, 2017</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EMEA</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4,674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9,463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8,036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4,706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9,906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318"/>
        </w:trPr>
        <w:tc>
          <w:tcPr>
            <w:tcW w:w="606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restructuring and turnaround costs</w:t>
            </w: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31,298</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6,738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39,568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4"/>
              </w:rPr>
              <w:t>27,151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4. DIVESTITURE</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On April 27, 2017, we sold our SEBRA line of benchtop and hand sealers to Machine Solutions Inc. because it was no longer aligned with our long-term strategic objectives. In connection with this transaction, we received net proceeds of $9.0 million and recorded a pre-tax gain of $8.0 million. The proceeds were subject to a post-closing adjustment based on final asset values as determined during the 90 day transition period. During the second quarter of fiscal 2018, the 90 day transition period ended and there were no post-close adjustments necessary.</w:t>
      </w:r>
    </w:p>
    <w:p>
      <w:pPr>
        <w:spacing w:after="0" w:line="7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SEBRA portfolio included a suite of products which primarily include radio frequency sealers that are used to seal tubing as part of the collection of whole blood and blood components, particularly plasma.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conduct business globally and report our results of operations in a number of foreign jurisdictions in addition to the United States. Our reported tax rate has been generally lower than the U.S. federal statutory rate as the income tax rates in the foreign jurisdictions in which we operate are generally lower than the U.S. statutory tax rate. Our reported tax rate for the three and nine months ended December 30, 2017 is higher than the statutory tax rate primarily as a result of net discrete expense recorded in connection with U.S. tax reform, as discussed below.</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three months ended December 30, 2017 and December 31, 2016, we reported an income tax provision of $6.8 million and $3.5 million, respectively. For the nine months ended December 30, 2017 and December 31, 2016, we reported an income tax provision of $12.6 million and $6.8 million, respectively. The change in our tax provision for both the three and nine months ended December 30, 2017 was primarily the result of U.S. tax reform, as discussed below, as well as changes in the jurisdictional mix of earnings and other foreign items. Our tax provision for nine months ended December 31, 2016 was impacted by a non-recurring discrete tax expense of $1.4 million related to a workforce reduction during the first quarter of fiscal 2017 in a foreign subsidiary where we were required to maintain certain levels of headcount for a multi-year period, which resulted in the establishment of a tax reserve.</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third quarter of fiscal 2018, the Tax Cuts and Jobs Act was enacted in the United States. The Act reduces the U.S. federal corporate tax rate from 35% to 21%, requires companies to pay a one-time transition tax on earnings of certain foreign subsidiaries that were previously tax deferred and creates new taxes on certain foreign sourced earnings. In December 2017, the SEC issued SAB 118, which directs taxpayers to consider the impact of the U.S. legislation as “provisional” when it does not have the necessary information available, prepared or analyzed (including computations) in reasonable detail to complete its accounting for the change in tax law.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ind w:right="20"/>
        <w:spacing w:after="0" w:line="255" w:lineRule="auto"/>
        <w:rPr>
          <w:sz w:val="20"/>
          <w:szCs w:val="20"/>
          <w:color w:val="auto"/>
        </w:rPr>
      </w:pPr>
      <w:r>
        <w:rPr>
          <w:rFonts w:ascii="Arial" w:cs="Arial" w:eastAsia="Arial" w:hAnsi="Arial"/>
          <w:sz w:val="18"/>
          <w:szCs w:val="18"/>
          <w:color w:val="auto"/>
        </w:rPr>
        <w:t>As of December 30, 2017, we had not completed our accounting for the tax effects of the enactment of the Act, however, as described below, we have made a reasonable estimate of the effects on our existing deferred tax balances and the one-time transition tax. During the three and nine months ended December 30, 2017, we recognized a provisional amount of $5.4 million as our reasonable estimate of the impact of the provisions of the Act, which is included as a component of income tax expense in our consolidated statements of (loss) income. The $5.4 million is comprised of an increase to tax expense of $12.3 million for the net transition tax to be paid over eight years, partially offset by $6.9 million of additional benefits from the re-measurement of deferred tax assets. We will continue to refine our calculations as additional analysis is completed. In addition, our estimates may also be affected as we gain a more thorough understanding of the tax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Provisional amounts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a result of the Act, we re-measured certain deferred tax assets and liabilities based on the rates at which they are expected to reverse in the future, which is generally 21%. However, we are still analyzing certain aspects of the Act and refining our calculations, which could potentially affect the measurement of these balances or potentially give rise to changes in deferred tax amounts. In addition, certain of our deferred tax assets against which we had previously maintained a valuation allowance became more-likely-than-not realizable as a result of the source of income associated with the transition tax and changes in the tax law which resulted in net operating losses generated in future periods having an indefinite carryforward period (as we have existing indefinite lived deferred tax liabilities which can serve as a source of income for indefinite lived deferred tax assets). As we continue to analyze the Act and refine our calculations it could give rise to additional changes in our valuation allowance. The provisional benefit amount recorded related to the re-measurement of our deferred tax balance prior to the release of the valuation allowance on attributes utilized to offset the transition tax during the three and nine months ended December 30, 2017 was $6.9 million.</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one-time transition tax associated with the Act is based on our total post-1986 earnings and profits ("E&amp;P") that we previously deferred from U.S. federal taxation. During the three and nine months ended December 30, 2017, we recorded a provisional amount for our one-time transition tax liability for our foreign subsidiaries of $22.7 million, resulting in an increase in income tax expense. The income tax expense increase was partially offset by the release of $10.4 million of valuation allowance on attributes utilized to offset the transition tax, resulting in a net provisional expense after utilization of foreign tax credits of $12.3 million. We have not yet completed our calculation of the total post-1986 E&amp;P for our foreign subsidiaries or the tax pools of our foreign subsidiaries. Further, the transition tax is based in part on the amount of those earnings held in cash and other specified assets. This amount may change when we finalize the calculation of post-1986 foreign E&amp;P previously deferred from U.S. federal taxation and finalize the amounts held in cash or other specified assets. We continue to provide for an additional withholding tax liability on the undistributed foreign earnings of certain foreign subsidiaries. No additional income taxes have been provided for any additional outside basis differences inherent in these entities, as these amounts continue to be indefinitely reinvested in foreign operations.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 We are still in the process of analyzing the impact of the Act on our indefinite reinvestment assertion.</w:t>
      </w:r>
    </w:p>
    <w:p>
      <w:pPr>
        <w:spacing w:after="0" w:line="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in a three year cumulative loss position in the U.S. and, accordingly, maintain a valuation allowance against our U.S. deferred tax assets. Additionally, we also maintain a valuation allowance against certain other deferred tax assets primarily in Switzerland, Puerto Rico, Luxembourg and France which we have concluded are not more-likely-than-not realizable.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6.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606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15,393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33,692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24,872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53,090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52,717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51,369</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(loss) income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0.30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0.64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0.48</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15,393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33,692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24,872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53,090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51,369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302</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53,090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52,103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53,285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51,671</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Diluted (loss) income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0.48</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Basic earnings per share is calculated using our weighted-average outstanding common stock. Diluted earnings per share is calculated using our weighted-average outstanding common stock including the dilutive effect of stock awards as determined under the treasury stock method. For the three months ended December 30, 2017, we recognized a net loss; therefore we excluded the impact of outstanding stock awards from the diluted loss per share calculation as their inclusion would have an anti-dilutive effect. For the nine months ended December 30, 2017, weighted average shares outstanding, assuming dilution, excludes the impact of 0.5 million anti-dilutive shares. For the three and nine months ended December 31, 2016, weighted average shares outstanding, assuming dilution, excludes the impact of 1.1 million and 1.7 million anti-dilutive shares,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30,</w:t>
            </w:r>
          </w:p>
        </w:tc>
        <w:tc>
          <w:tcPr>
            <w:tcW w:w="340" w:type="dxa"/>
            <w:vAlign w:val="bottom"/>
          </w:tcPr>
          <w:p>
            <w:pPr>
              <w:spacing w:after="0"/>
              <w:rPr>
                <w:sz w:val="14"/>
                <w:szCs w:val="14"/>
                <w:color w:val="auto"/>
              </w:rPr>
            </w:pPr>
          </w:p>
        </w:tc>
        <w:tc>
          <w:tcPr>
            <w:tcW w:w="1260" w:type="dxa"/>
            <w:vAlign w:val="bottom"/>
          </w:tcPr>
          <w:p>
            <w:pPr>
              <w:jc w:val="right"/>
              <w:ind w:right="496"/>
              <w:spacing w:after="0"/>
              <w:rPr>
                <w:sz w:val="20"/>
                <w:szCs w:val="20"/>
                <w:color w:val="auto"/>
              </w:rPr>
            </w:pPr>
            <w:r>
              <w:rPr>
                <w:rFonts w:ascii="Arial" w:cs="Arial" w:eastAsia="Arial" w:hAnsi="Arial"/>
                <w:sz w:val="14"/>
                <w:szCs w:val="14"/>
                <w:b w:val="1"/>
                <w:bCs w:val="1"/>
                <w:color w:val="auto"/>
              </w:rPr>
              <w:t>April 1,</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46,347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52,052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9,485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10,400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103,008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114,477</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158,840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176,929</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CAPITALIZATION OF SOFTWARE DEVELOPMENT COSTS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we apply the provisions of ASC 985-20, </w:t>
      </w:r>
      <w:r>
        <w:rPr>
          <w:rFonts w:ascii="Arial" w:cs="Arial" w:eastAsia="Arial" w:hAnsi="Arial"/>
          <w:sz w:val="18"/>
          <w:szCs w:val="18"/>
          <w:i w:val="1"/>
          <w:iCs w:val="1"/>
          <w:color w:val="auto"/>
        </w:rPr>
        <w:t>Software - Costs</w:t>
      </w:r>
      <w:r>
        <w:rPr>
          <w:rFonts w:ascii="Arial" w:cs="Arial" w:eastAsia="Arial" w:hAnsi="Arial"/>
          <w:sz w:val="18"/>
          <w:szCs w:val="18"/>
          <w:color w:val="auto"/>
        </w:rPr>
        <w:t xml:space="preserve"> </w:t>
      </w:r>
      <w:r>
        <w:rPr>
          <w:rFonts w:ascii="Arial" w:cs="Arial" w:eastAsia="Arial" w:hAnsi="Arial"/>
          <w:sz w:val="18"/>
          <w:szCs w:val="18"/>
          <w:i w:val="1"/>
          <w:iCs w:val="1"/>
          <w:color w:val="auto"/>
        </w:rPr>
        <w:t>of Software to be Sold, Leased or Marketed</w:t>
      </w:r>
      <w:r>
        <w:rPr>
          <w:rFonts w:ascii="Arial" w:cs="Arial" w:eastAsia="Arial" w:hAnsi="Arial"/>
          <w:sz w:val="18"/>
          <w:szCs w:val="18"/>
          <w:color w:val="auto"/>
        </w:rPr>
        <w:t>, which specifies that costs incurred internally in researching and developing a computer software product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capitalized $8.7 million and $8.3 million in software development costs for ongoing initiatives during both the nine months ended December 30, 2017 and December 31, 2016, respectively. At December 30, 2017 and April 1, 2017, we had a total of $71.4 million and $62.7 million of capitalized software costs, respectively, of which $19.1 million and $12.7 million are related to in-process software development initiatives, respectively. During the nine months ended December 30, 2017 and December 31, 2016, there were $2.3 million and $4.5 million capitalized costs placed into service, respectively. The costs capitalized for each project are included in intangible assets in the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9. PRODUCT WARRANTIES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provide warranty on parts and labor for one year after the sale and installation of each device. We also warrant our disposables products through their use or expiration. We estimate our potential warranty expense based on our historical warranty experience and periodically assess the adequacy of our warranty accrual, making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3"/>
                <w:szCs w:val="13"/>
                <w:color w:val="auto"/>
              </w:rPr>
            </w:pPr>
          </w:p>
        </w:tc>
        <w:tc>
          <w:tcPr>
            <w:tcW w:w="136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860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364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203</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 AND FAIR VALUE MEASUREMENTS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manufacture, market and sell our products globally. During the three and nine months ended December 30, 2017, 39.8% and 38.7% of our sales were generated outside the U.S., generally in foreign currencies. We also incur certain manufacturing, marketing and selling costs in international markets in local currency.</w:t>
      </w:r>
    </w:p>
    <w:p>
      <w:pPr>
        <w:spacing w:after="0" w:line="181"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we generally enter into forward contracts one year out, rates are fixed for a one-year period, thereby facilitating financial planning and resource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All of our designated foreign currency hedge contracts as of December 30, 2017 and April 1, 2017 were cash flow hedges under ASC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w:t>
      </w:r>
      <w:r>
        <w:rPr>
          <w:rFonts w:ascii="Arial" w:cs="Arial" w:eastAsia="Arial" w:hAnsi="Arial"/>
          <w:sz w:val="17"/>
          <w:szCs w:val="17"/>
          <w:color w:val="auto"/>
        </w:rPr>
        <w:t>("ASC 815"). We record the effective portion of any change in the fair value of designated foreign currency hedge contracts in other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$73.3 million as of December 30, 2017 and $68.4 million as of April 1, 2017. At December 30, 2017, losses of $2.3 million, net of tax, will be reclassified to earnings within the next twelve months. Substantially all currency cash flow hedges outstanding as of December 30, 2017 mature within twelve months.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We had non-designated foreign currency hedge contracts under ASC 815 outstanding in the contract amount of $33.4 million as of December 30, 2017 and $55.4 million as of April 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21, 2012, we entered into two interest rate swap agreements (the "Swaps") on a total notional amount of $250.0 million of debt. We designated the Swaps as cash flow hedges of variable interest rate risk associated with $250.0 million of indebtedness. For the nine months ended December 30, 2017 and the three and nine months ended December 31, 2016, we recorded nominal activity in accumulated other comprehensive loss to recognize the effective portion of the fair value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interest rate swaps that qualify as cash flow hedges. No activity was recorded during the three months ended December 30, 2017 as the Swaps matured on August 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 of our derivative instruments designated as cash flow hedges and those not designated as hedging instruments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ASC 815 in our consolidated statements of (loss) income and comprehensive income for the nine months ended December 30, 2017:</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vMerge w:val="restart"/>
          </w:tcPr>
          <w:p>
            <w:pPr>
              <w:jc w:val="center"/>
              <w:ind w:right="100"/>
              <w:spacing w:after="0"/>
              <w:rPr>
                <w:sz w:val="20"/>
                <w:szCs w:val="20"/>
                <w:color w:val="auto"/>
              </w:rPr>
            </w:pPr>
            <w:r>
              <w:rPr>
                <w:rFonts w:ascii="Arial" w:cs="Arial" w:eastAsia="Arial" w:hAnsi="Arial"/>
                <w:sz w:val="14"/>
                <w:szCs w:val="14"/>
                <w:color w:val="auto"/>
                <w:w w:val="97"/>
              </w:rPr>
              <w:t>Amount of (Loss) Gain</w:t>
            </w:r>
          </w:p>
        </w:tc>
        <w:tc>
          <w:tcPr>
            <w:tcW w:w="180" w:type="dxa"/>
            <w:vAlign w:val="bottom"/>
          </w:tcPr>
          <w:p>
            <w:pPr>
              <w:spacing w:after="0"/>
              <w:rPr>
                <w:sz w:val="14"/>
                <w:szCs w:val="14"/>
                <w:color w:val="auto"/>
              </w:rPr>
            </w:pPr>
          </w:p>
        </w:tc>
        <w:tc>
          <w:tcPr>
            <w:tcW w:w="1520" w:type="dxa"/>
            <w:vAlign w:val="bottom"/>
          </w:tcPr>
          <w:p>
            <w:pPr>
              <w:jc w:val="center"/>
              <w:ind w:right="81"/>
              <w:spacing w:after="0"/>
              <w:rPr>
                <w:sz w:val="20"/>
                <w:szCs w:val="20"/>
                <w:color w:val="auto"/>
              </w:rPr>
            </w:pPr>
            <w:r>
              <w:rPr>
                <w:rFonts w:ascii="Arial" w:cs="Arial" w:eastAsia="Arial" w:hAnsi="Arial"/>
                <w:sz w:val="14"/>
                <w:szCs w:val="14"/>
                <w:color w:val="auto"/>
                <w:w w:val="97"/>
              </w:rPr>
              <w:t>Amount of (Loss) Gain</w:t>
            </w:r>
          </w:p>
        </w:tc>
        <w:tc>
          <w:tcPr>
            <w:tcW w:w="2040" w:type="dxa"/>
            <w:vAlign w:val="bottom"/>
          </w:tcPr>
          <w:p>
            <w:pPr>
              <w:jc w:val="center"/>
              <w:spacing w:after="0"/>
              <w:rPr>
                <w:sz w:val="20"/>
                <w:szCs w:val="20"/>
                <w:color w:val="auto"/>
              </w:rPr>
            </w:pPr>
            <w:r>
              <w:rPr>
                <w:rFonts w:ascii="Arial" w:cs="Arial" w:eastAsia="Arial" w:hAnsi="Arial"/>
                <w:sz w:val="14"/>
                <w:szCs w:val="14"/>
                <w:color w:val="auto"/>
                <w:w w:val="97"/>
              </w:rPr>
              <w:t>Location in</w:t>
            </w:r>
          </w:p>
        </w:tc>
        <w:tc>
          <w:tcPr>
            <w:tcW w:w="220" w:type="dxa"/>
            <w:vAlign w:val="bottom"/>
          </w:tcPr>
          <w:p>
            <w:pPr>
              <w:spacing w:after="0"/>
              <w:rPr>
                <w:sz w:val="14"/>
                <w:szCs w:val="14"/>
                <w:color w:val="auto"/>
              </w:rPr>
            </w:pPr>
          </w:p>
        </w:tc>
        <w:tc>
          <w:tcPr>
            <w:tcW w:w="1260" w:type="dxa"/>
            <w:vAlign w:val="bottom"/>
            <w:vMerge w:val="restart"/>
          </w:tcPr>
          <w:p>
            <w:pPr>
              <w:jc w:val="center"/>
              <w:ind w:right="121"/>
              <w:spacing w:after="0"/>
              <w:rPr>
                <w:sz w:val="20"/>
                <w:szCs w:val="20"/>
                <w:color w:val="auto"/>
              </w:rPr>
            </w:pPr>
            <w:r>
              <w:rPr>
                <w:rFonts w:ascii="Arial" w:cs="Arial" w:eastAsia="Arial" w:hAnsi="Arial"/>
                <w:sz w:val="14"/>
                <w:szCs w:val="14"/>
                <w:color w:val="auto"/>
                <w:w w:val="96"/>
              </w:rPr>
              <w:t>Amount of Gain</w:t>
            </w:r>
          </w:p>
        </w:tc>
        <w:tc>
          <w:tcPr>
            <w:tcW w:w="1880" w:type="dxa"/>
            <w:vAlign w:val="bottom"/>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vMerge w:val="restart"/>
          </w:tcPr>
          <w:p>
            <w:pPr>
              <w:jc w:val="center"/>
              <w:ind w:right="81"/>
              <w:spacing w:after="0" w:line="149" w:lineRule="exact"/>
              <w:rPr>
                <w:sz w:val="20"/>
                <w:szCs w:val="20"/>
                <w:color w:val="auto"/>
              </w:rPr>
            </w:pPr>
            <w:r>
              <w:rPr>
                <w:rFonts w:ascii="Arial" w:cs="Arial" w:eastAsia="Arial" w:hAnsi="Arial"/>
                <w:sz w:val="14"/>
                <w:szCs w:val="14"/>
                <w:color w:val="auto"/>
                <w:w w:val="95"/>
              </w:rPr>
              <w:t>Reclassified</w:t>
            </w:r>
          </w:p>
        </w:tc>
        <w:tc>
          <w:tcPr>
            <w:tcW w:w="20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2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Recognized</w:t>
            </w: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14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5"/>
              </w:rPr>
              <w:t>(Loss) Excluded from</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4"/>
              </w:rPr>
              <w:t>from Accumulated Other</w:t>
            </w:r>
          </w:p>
        </w:tc>
        <w:tc>
          <w:tcPr>
            <w:tcW w:w="20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7"/>
              </w:rPr>
              <w:t>(Loss)</w:t>
            </w:r>
          </w:p>
        </w:tc>
        <w:tc>
          <w:tcPr>
            <w:tcW w:w="1480" w:type="dxa"/>
            <w:vAlign w:val="bottom"/>
            <w:gridSpan w:val="2"/>
            <w:vMerge w:val="continue"/>
          </w:tcPr>
          <w:p>
            <w:pPr>
              <w:spacing w:after="0"/>
              <w:rPr>
                <w:sz w:val="5"/>
                <w:szCs w:val="5"/>
                <w:color w:val="auto"/>
              </w:rPr>
            </w:pP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7"/>
              </w:rPr>
              <w:t>(Loss)</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5"/>
              </w:rPr>
              <w:t>in Accumulated Other</w:t>
            </w:r>
          </w:p>
        </w:tc>
        <w:tc>
          <w:tcPr>
            <w:tcW w:w="1700" w:type="dxa"/>
            <w:vAlign w:val="bottom"/>
            <w:gridSpan w:val="2"/>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restart"/>
          </w:tcPr>
          <w:p>
            <w:pPr>
              <w:jc w:val="center"/>
              <w:ind w:right="121"/>
              <w:spacing w:after="0" w:line="149" w:lineRule="exact"/>
              <w:rPr>
                <w:sz w:val="20"/>
                <w:szCs w:val="20"/>
                <w:color w:val="auto"/>
              </w:rPr>
            </w:pPr>
            <w:r>
              <w:rPr>
                <w:rFonts w:ascii="Arial" w:cs="Arial" w:eastAsia="Arial" w:hAnsi="Arial"/>
                <w:sz w:val="14"/>
                <w:szCs w:val="14"/>
                <w:color w:val="auto"/>
                <w:w w:val="93"/>
              </w:rPr>
              <w:t>Effectiveness</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3"/>
              </w:rPr>
              <w:t>Comprehensive Loss into</w:t>
            </w:r>
          </w:p>
        </w:tc>
        <w:tc>
          <w:tcPr>
            <w:tcW w:w="20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2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rPr>
                <w:sz w:val="20"/>
                <w:szCs w:val="20"/>
                <w:color w:val="auto"/>
              </w:rPr>
            </w:pPr>
            <w:r>
              <w:rPr>
                <w:rFonts w:ascii="Arial" w:cs="Arial" w:eastAsia="Arial" w:hAnsi="Arial"/>
                <w:sz w:val="14"/>
                <w:szCs w:val="14"/>
                <w:color w:val="auto"/>
                <w:w w:val="91"/>
              </w:rPr>
              <w:t>Comprehensive Loss</w:t>
            </w:r>
          </w:p>
        </w:tc>
        <w:tc>
          <w:tcPr>
            <w:tcW w:w="1700" w:type="dxa"/>
            <w:vAlign w:val="bottom"/>
            <w:gridSpan w:val="2"/>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restart"/>
          </w:tcPr>
          <w:p>
            <w:pPr>
              <w:jc w:val="center"/>
              <w:ind w:right="121"/>
              <w:spacing w:after="0"/>
              <w:rPr>
                <w:sz w:val="20"/>
                <w:szCs w:val="20"/>
                <w:color w:val="auto"/>
              </w:rPr>
            </w:pPr>
            <w:r>
              <w:rPr>
                <w:rFonts w:ascii="Arial" w:cs="Arial" w:eastAsia="Arial" w:hAnsi="Arial"/>
                <w:sz w:val="14"/>
                <w:szCs w:val="14"/>
                <w:color w:val="auto"/>
                <w:w w:val="91"/>
              </w:rPr>
              <w:t>Testing</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5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vMerge w:val="restart"/>
          </w:tcPr>
          <w:p>
            <w:pPr>
              <w:jc w:val="center"/>
              <w:ind w:right="81"/>
              <w:spacing w:after="0"/>
              <w:rPr>
                <w:sz w:val="20"/>
                <w:szCs w:val="20"/>
                <w:color w:val="auto"/>
              </w:rPr>
            </w:pPr>
            <w:r>
              <w:rPr>
                <w:rFonts w:ascii="Arial" w:cs="Arial" w:eastAsia="Arial" w:hAnsi="Arial"/>
                <w:sz w:val="14"/>
                <w:szCs w:val="14"/>
                <w:color w:val="auto"/>
                <w:w w:val="94"/>
              </w:rPr>
              <w:t>Earnings</w:t>
            </w:r>
          </w:p>
        </w:tc>
        <w:tc>
          <w:tcPr>
            <w:tcW w:w="2040" w:type="dxa"/>
            <w:vAlign w:val="bottom"/>
            <w:vMerge w:val="restart"/>
          </w:tcPr>
          <w:p>
            <w:pPr>
              <w:jc w:val="center"/>
              <w:spacing w:after="0"/>
              <w:rPr>
                <w:sz w:val="20"/>
                <w:szCs w:val="20"/>
                <w:color w:val="auto"/>
              </w:rPr>
            </w:pPr>
            <w:r>
              <w:rPr>
                <w:rFonts w:ascii="Arial" w:cs="Arial" w:eastAsia="Arial" w:hAnsi="Arial"/>
                <w:sz w:val="14"/>
                <w:szCs w:val="14"/>
                <w:color w:val="auto"/>
                <w:w w:val="92"/>
              </w:rPr>
              <w:t>(Loss) Income</w:t>
            </w:r>
          </w:p>
        </w:tc>
        <w:tc>
          <w:tcPr>
            <w:tcW w:w="2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color w:val="auto"/>
                <w:w w:val="92"/>
              </w:rPr>
              <w:t>(Loss) Income</w:t>
            </w:r>
          </w:p>
        </w:tc>
        <w:tc>
          <w:tcPr>
            <w:tcW w:w="0" w:type="dxa"/>
            <w:vAlign w:val="bottom"/>
          </w:tcPr>
          <w:p>
            <w:pPr>
              <w:spacing w:after="0"/>
              <w:rPr>
                <w:sz w:val="1"/>
                <w:szCs w:val="1"/>
                <w:color w:val="auto"/>
              </w:rPr>
            </w:pPr>
          </w:p>
        </w:tc>
      </w:tr>
      <w:tr>
        <w:trPr>
          <w:trHeight w:val="87"/>
        </w:trPr>
        <w:tc>
          <w:tcPr>
            <w:tcW w:w="2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Net revenues, COGS, and</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(633)</w:t>
            </w:r>
          </w:p>
        </w:tc>
        <w:tc>
          <w:tcPr>
            <w:tcW w:w="2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SG&amp;A</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862</w:t>
            </w:r>
          </w:p>
        </w:tc>
        <w:tc>
          <w:tcPr>
            <w:tcW w:w="1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w w:val="94"/>
              </w:rPr>
              <w:t>Non-designated foreign currency</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rPr>
              <w:t>hedge contracts</w:t>
            </w:r>
          </w:p>
        </w:tc>
        <w:tc>
          <w:tcPr>
            <w:tcW w:w="240" w:type="dxa"/>
            <w:vAlign w:val="bottom"/>
          </w:tcPr>
          <w:p>
            <w:pPr>
              <w:spacing w:after="0"/>
              <w:rPr>
                <w:sz w:val="20"/>
                <w:szCs w:val="20"/>
                <w:color w:val="auto"/>
              </w:rPr>
            </w:pPr>
          </w:p>
        </w:tc>
        <w:tc>
          <w:tcPr>
            <w:tcW w:w="154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
              <w:spacing w:after="0"/>
              <w:rPr>
                <w:sz w:val="20"/>
                <w:szCs w:val="20"/>
                <w:color w:val="auto"/>
              </w:rPr>
            </w:pPr>
            <w:r>
              <w:rPr>
                <w:rFonts w:ascii="Arial" w:cs="Arial" w:eastAsia="Arial" w:hAnsi="Arial"/>
                <w:sz w:val="18"/>
                <w:szCs w:val="18"/>
                <w:color w:val="auto"/>
              </w:rPr>
              <w:t>(1,076)</w:t>
            </w:r>
          </w:p>
        </w:tc>
        <w:tc>
          <w:tcPr>
            <w:tcW w:w="1880" w:type="dxa"/>
            <w:vAlign w:val="bottom"/>
          </w:tcPr>
          <w:p>
            <w:pPr>
              <w:ind w:left="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Designated interest rate swaps,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and other</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 net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did not have fair value hedges or net investment hedges outstanding as of December 30, 2017 or April 1, 2017. As of December 30, 2017, no deferred tax assets were recognized for designated foreign currency hedges.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ASC 815 requires all derivative instruments to be recognized at their fair values as either assets or liabilities on the balance sheet. We determine the fair value of our derivative instruments using the framework prescribed by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30, 2017, we have classified our derivative assets and liabilities within Level 2 of the fair value hierarchy prescribed by ASC 815, as discussed below, because these observable inputs are available for substantially the full term of our derivative instruments.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of our derivative instruments as they appear in our consolidated balance sheets as of December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2"/>
            <w:vMerge w:val="restart"/>
          </w:tcPr>
          <w:p>
            <w:pPr>
              <w:ind w:left="920"/>
              <w:spacing w:after="0"/>
              <w:rPr>
                <w:sz w:val="20"/>
                <w:szCs w:val="20"/>
                <w:color w:val="auto"/>
              </w:rPr>
            </w:pPr>
            <w:r>
              <w:rPr>
                <w:rFonts w:ascii="Arial" w:cs="Arial" w:eastAsia="Arial" w:hAnsi="Arial"/>
                <w:sz w:val="14"/>
                <w:szCs w:val="14"/>
                <w:color w:val="auto"/>
              </w:rPr>
              <w:t>Location in</w:t>
            </w:r>
          </w:p>
        </w:tc>
        <w:tc>
          <w:tcPr>
            <w:tcW w:w="240" w:type="dxa"/>
            <w:vAlign w:val="bottom"/>
          </w:tcPr>
          <w:p>
            <w:pPr>
              <w:spacing w:after="0"/>
              <w:rPr>
                <w:sz w:val="16"/>
                <w:szCs w:val="16"/>
                <w:color w:val="auto"/>
              </w:rPr>
            </w:pPr>
          </w:p>
        </w:tc>
        <w:tc>
          <w:tcPr>
            <w:tcW w:w="1780" w:type="dxa"/>
            <w:vAlign w:val="bottom"/>
            <w:gridSpan w:val="2"/>
          </w:tcPr>
          <w:p>
            <w:pPr>
              <w:ind w:left="560"/>
              <w:spacing w:after="0"/>
              <w:rPr>
                <w:sz w:val="20"/>
                <w:szCs w:val="20"/>
                <w:color w:val="auto"/>
              </w:rPr>
            </w:pPr>
            <w:r>
              <w:rPr>
                <w:rFonts w:ascii="Arial" w:cs="Arial" w:eastAsia="Arial" w:hAnsi="Arial"/>
                <w:sz w:val="14"/>
                <w:szCs w:val="14"/>
                <w:b w:val="1"/>
                <w:bCs w:val="1"/>
                <w:color w:val="auto"/>
              </w:rPr>
              <w:t>As of</w:t>
            </w:r>
          </w:p>
        </w:tc>
        <w:tc>
          <w:tcPr>
            <w:tcW w:w="340" w:type="dxa"/>
            <w:vAlign w:val="bottom"/>
          </w:tcPr>
          <w:p>
            <w:pPr>
              <w:spacing w:after="0"/>
              <w:rPr>
                <w:sz w:val="16"/>
                <w:szCs w:val="16"/>
                <w:color w:val="auto"/>
              </w:rPr>
            </w:pPr>
          </w:p>
        </w:tc>
        <w:tc>
          <w:tcPr>
            <w:tcW w:w="1580" w:type="dxa"/>
            <w:vAlign w:val="bottom"/>
          </w:tcPr>
          <w:p>
            <w:pPr>
              <w:jc w:val="right"/>
              <w:ind w:right="71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8"/>
        </w:trPr>
        <w:tc>
          <w:tcPr>
            <w:tcW w:w="4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6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December 30, 2017</w:t>
            </w:r>
          </w:p>
        </w:tc>
        <w:tc>
          <w:tcPr>
            <w:tcW w:w="100" w:type="dxa"/>
            <w:vAlign w:val="bottom"/>
            <w:vMerge w:val="restart"/>
          </w:tcPr>
          <w:p>
            <w:pPr>
              <w:spacing w:after="0"/>
              <w:rPr>
                <w:sz w:val="7"/>
                <w:szCs w:val="7"/>
                <w:color w:val="auto"/>
              </w:rPr>
            </w:pPr>
          </w:p>
        </w:tc>
        <w:tc>
          <w:tcPr>
            <w:tcW w:w="340" w:type="dxa"/>
            <w:vAlign w:val="bottom"/>
          </w:tcPr>
          <w:p>
            <w:pPr>
              <w:spacing w:after="0"/>
              <w:rPr>
                <w:sz w:val="7"/>
                <w:szCs w:val="7"/>
                <w:color w:val="auto"/>
              </w:rPr>
            </w:pPr>
          </w:p>
        </w:tc>
        <w:tc>
          <w:tcPr>
            <w:tcW w:w="15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April 1, 2017</w:t>
            </w:r>
          </w:p>
        </w:tc>
        <w:tc>
          <w:tcPr>
            <w:tcW w:w="0" w:type="dxa"/>
            <w:vAlign w:val="bottom"/>
          </w:tcPr>
          <w:p>
            <w:pPr>
              <w:spacing w:after="0"/>
              <w:rPr>
                <w:sz w:val="1"/>
                <w:szCs w:val="1"/>
                <w:color w:val="auto"/>
              </w:rPr>
            </w:pPr>
          </w:p>
        </w:tc>
      </w:tr>
      <w:tr>
        <w:trPr>
          <w:trHeight w:val="188"/>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4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Balance Sheet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 Assets:</w:t>
            </w:r>
          </w:p>
        </w:tc>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443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1,927</w:t>
            </w:r>
          </w:p>
        </w:tc>
        <w:tc>
          <w:tcPr>
            <w:tcW w:w="0" w:type="dxa"/>
            <w:vAlign w:val="bottom"/>
          </w:tcPr>
          <w:p>
            <w:pPr>
              <w:spacing w:after="0"/>
              <w:rPr>
                <w:sz w:val="1"/>
                <w:szCs w:val="1"/>
                <w:color w:val="auto"/>
              </w:rPr>
            </w:pPr>
          </w:p>
        </w:tc>
      </w:tr>
      <w:tr>
        <w:trPr>
          <w:trHeight w:val="67"/>
        </w:trPr>
        <w:tc>
          <w:tcPr>
            <w:tcW w:w="46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1,461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966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9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December 30, 2017 and April 1,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513"/>
              <w:spacing w:after="0"/>
              <w:rPr>
                <w:sz w:val="20"/>
                <w:szCs w:val="20"/>
                <w:color w:val="auto"/>
              </w:rPr>
            </w:pPr>
            <w:r>
              <w:rPr>
                <w:rFonts w:ascii="Arial" w:cs="Arial" w:eastAsia="Arial" w:hAnsi="Arial"/>
                <w:sz w:val="14"/>
                <w:szCs w:val="14"/>
                <w:b w:val="1"/>
                <w:bCs w:val="1"/>
                <w:color w:val="auto"/>
                <w:w w:val="92"/>
              </w:rPr>
              <w:t>As of December 30, 2017</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164,409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164,409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164,409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164,852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1,461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As of April 1, 2017</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22"/>
                <w:szCs w:val="22"/>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80,676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80,676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80,676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1,927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82,603</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966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966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accounts receivable and accounts payable approximate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The Company is a party to various other legal proceedings and claims arising out of the ordinary course of its business. We believe that except for those matters described below, there are no other proceedings or claims pending against us the ultimate resolution of which could have a material adverse effect on our financial condition or results of operations. At each reporting period, management evaluates whether or not a potential loss amount or a potential range of loss is probable and reasonably estimable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for all matters. Legal costs are expensed as incurred.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Litigation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Italian Employment Litigation</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former employees of our facility in Ascoli-Piceno, Italy. We ceased operations at the facility in fiscal 2014 and sold the property in fiscal 2017.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rights to payment of the extra time used for changing into and out of the working clothes at the beginning and end of each shift.</w:t>
      </w:r>
    </w:p>
    <w:p>
      <w:pPr>
        <w:spacing w:after="0" w:line="22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addition, a union represented in the Ascoli plant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20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total amount of damages claimed by the plaintiffs in these matters is approximately $4.8 million. During the second quarter of fiscal 2018, we proposed a settlement offer of $0.8 million, which resulted in charges of $0.4 million during that quarter. During the third quarter of fiscal 2018, substantially all of the plaintiffs involved in these claims accepted a settlement offer, which resulted in additional charges of $0.3 million. As of December 30, 2017, we have recorded a total liability of $1.1 million associated with these claims.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SOLX Arbitration</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July 2016, H2Equity, LLC, formerly known as Hemerus Medical, LLC (“Hemerus”), filed an arbitration claim for $17 million relating to milestone and royalty payments allegedly owed as part of our acquisition of Hemerus' filter and storage solution business, referred to herein as "SOLX", in fiscal 2014.</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Upon closing of the acquisition in April 2013, Haemonetics paid Hemerus a total of $24 million and agreed to a $3 million milestone payment due when the United States Food and Drug Administration ("FDA") approved a new indication for SOLX (the “24-Hour Approval”) using a filter acquired from Hemerus. We also agreed to make future royalty payments up to a cumulative maximum of $14 million based on the sale of products incorporating SOLX over a ten year period.</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Due to performance issues with the Hemerus filter, we filed for and received the 24-Hour Approval using a Haemonetics filter. Accordingly, we did not pay Hemerus the $3 million milestone payment because the 24-Hour Approval was obtained using a Haemonetics filter, not a Hemerus filter. Additionally, we have not paid any royalties to date as we have not made any sales of products incorporating SOLX.</w:t>
      </w:r>
    </w:p>
    <w:p>
      <w:pPr>
        <w:spacing w:after="0" w:line="18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H2Equity’s July 2016 arbitration claim alleged, in part, that we owed H2Equity $3 million for the receipt of the 24-Hour Approval despite the use of a Haemonetics filter to obtain the approval and that we have failed to make commercially reasonable efforts to market and sell products incorporating SOLX. In January 2018, we entered into a settlement agreement with H2Equity that, together with corresponding settlement documents, provides for a release of H2Equity’s claims against the Company in exchange for the payment of $0.4 million and transfer of SOLX-related intellectual property to H2Equity, along with the parties entry into a supply agreement providing for our supply to H2Equity of Haemonetics filters as used in the 24-Hour Approval.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June 2016, we issued a voluntary recall of certain whole blood collection kits sold to our Blood Center customers in the U.S. The recall resulted from some collection sets' filters failing to adequately remove leukocytes from collected blood. As a result of the recall, our Blood Center customers may have conducted tests to confirm that the collected blood was adequately leukoreduced, sold the collected blood labeled as non-leukoreduced at a lower price or discarded the collected blood. During fiscal 2017, we recorded $3.7 million of charges associated with customer returns and inventory reserves and $3.4 million of charges associated with customer claims. We have an enforceable insurance policy in place which will provide coverage for a portion of the customer claims. During fiscal 2017, we recorded $2.9 million of insurance receivables associated with the $3.4 million of charges from customer claims.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64" w:right="259" w:bottom="1440" w:gutter="0" w:footer="0" w:header="0"/>
        </w:sectPr>
      </w:pPr>
    </w:p>
    <w:bookmarkStart w:id="14" w:name="page15"/>
    <w:bookmarkEnd w:id="14"/>
    <w:p>
      <w:pPr>
        <w:spacing w:after="0" w:line="279" w:lineRule="auto"/>
        <w:rPr>
          <w:sz w:val="20"/>
          <w:szCs w:val="20"/>
          <w:color w:val="auto"/>
        </w:rPr>
      </w:pPr>
      <w:r>
        <w:rPr>
          <w:rFonts w:ascii="Arial" w:cs="Arial" w:eastAsia="Arial" w:hAnsi="Arial"/>
          <w:sz w:val="17"/>
          <w:szCs w:val="17"/>
          <w:color w:val="auto"/>
        </w:rPr>
        <w:t>In January 2018, we entered into formal mediation with a group of customers responsible for substantially all of the total outstanding claims against us. Based upon the parameters of a proposed settlement for the outstanding customer claims that are subject to on-going negotiations, we incurred an additional $5.1 million of charges. The incremental charges were partially offset by an additional $2.1 million of insurance receivables. Both the additional charges and insurance receivables are included in our results for the three and nine months ended December 30, 2017.</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As of December 30, 2017, we had recorded a cumulative total of $7.2 million of net charges associated with this recall, which consisted of $3.7 million of charges associated with customer returns and inventory reserves and $8.5 million of other customer claims, partially offset by $5.0 million of insurance receivables.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February 2017, we informed a customer of our intent to exit an existing contract. The customer made a demand for $4.6 million, which consisted of $2.8 million in damages for non-performance under the contract and $1.8 million for the refund of two upfront payments that the customer had previously paid to us in connection with the development of a project. During the third quarter of fiscal 2018, we refunded the $1.8 million of upfront payments and entered into a settlement agreement for $2.3 million in connection with this matter. As of December 30, 2017, we reduced our liability to be reflective of this settlement amount.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ENTERPRISE-WIDE INFORMATION</w:t>
      </w:r>
    </w:p>
    <w:p>
      <w:pPr>
        <w:spacing w:after="0" w:line="135"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We determine our reportable segments by first identifying our operating segments, and then by assessing whether any components of these segments constitute a business for which discrete financial information is available and where segment management regularly reviews the operating results of that component. Our operating segments are based primarily on geography. North America Plasma is a separate operating segment with dedicated segment management due the size and scale of the Plasma business unit. We aggregate components within an operating segment that have similar economic characteristics.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Japan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has aggregated the Americas Blood Center and Hospital and Asia - Pacific operating segments into the All Other reportable segment based upon their similar operational and economic characteristics, including similarity of operating margin.</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and asset impairments.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first quarter of fiscal 2018, management changed the cost reporting structure such that a portion of corporate expenses were reclassified into the operating segments. Accordingly, the prior year numbers have been updated to reflect this reclassification.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Selected information by business segment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6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December 30,</w:t>
            </w:r>
          </w:p>
        </w:tc>
        <w:tc>
          <w:tcPr>
            <w:tcW w:w="160" w:type="dxa"/>
            <w:vAlign w:val="bottom"/>
          </w:tcPr>
          <w:p>
            <w:pPr>
              <w:spacing w:after="0"/>
              <w:rPr>
                <w:sz w:val="13"/>
                <w:szCs w:val="13"/>
                <w:color w:val="auto"/>
              </w:rPr>
            </w:pPr>
          </w:p>
        </w:tc>
        <w:tc>
          <w:tcPr>
            <w:tcW w:w="110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Japan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18,161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20,173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50,557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53,730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49,857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141,531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86,545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83,324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249,132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235,091</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79,884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242,084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236,315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revenues before foreign exchange impact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235,904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233,238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676,048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666,667</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234,043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227,841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670,371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658,050</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508"/>
        </w:trPr>
        <w:tc>
          <w:tcPr>
            <w:tcW w:w="6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6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December 30,</w:t>
            </w:r>
          </w:p>
        </w:tc>
        <w:tc>
          <w:tcPr>
            <w:tcW w:w="160" w:type="dxa"/>
            <w:vAlign w:val="bottom"/>
          </w:tcPr>
          <w:p>
            <w:pPr>
              <w:spacing w:after="0"/>
              <w:rPr>
                <w:sz w:val="13"/>
                <w:szCs w:val="13"/>
                <w:color w:val="auto"/>
              </w:rPr>
            </w:pPr>
          </w:p>
        </w:tc>
        <w:tc>
          <w:tcPr>
            <w:tcW w:w="110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Japan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8,967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9,514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23,582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24,687</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27,996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31,740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23,125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88,026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74,443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89,289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85,538</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83,681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71,204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229,130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212,664</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(124,398)</w:t>
            </w: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Effect of exchange rates</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turnaround costs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Deal amortization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(20,611)</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charges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(1,525)</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21,212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41,882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38,125</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products are organized into four categories for purposes of evaluating their growth potential: Plasma, Blood Center, Cell Processing and Hemostasis Management. Management reviews revenue trends based on these business units; however, no other financial information is currently available on this basis.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9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Net revenues by business unit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30, 2017</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92"/>
        </w:trPr>
        <w:tc>
          <w:tcPr>
            <w:tcW w:w="60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113,098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309,868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74,227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76,354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211,502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221,567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Cell Processing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26,829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25,918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78,929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77,949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Hemostasis Management</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19,889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16,914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55,564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48,666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234,043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227,841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670,371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658,050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Net revenues generated in our principle operating regions on a reported basis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58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4"/>
          </w:tcPr>
          <w:p>
            <w:pPr>
              <w:ind w:left="200"/>
              <w:spacing w:after="0" w:line="153" w:lineRule="exact"/>
              <w:rPr>
                <w:sz w:val="20"/>
                <w:szCs w:val="20"/>
                <w:color w:val="auto"/>
              </w:rPr>
            </w:pPr>
            <w:r>
              <w:rPr>
                <w:rFonts w:ascii="Arial" w:cs="Arial" w:eastAsia="Arial" w:hAnsi="Arial"/>
                <w:sz w:val="14"/>
                <w:szCs w:val="14"/>
                <w:b w:val="1"/>
                <w:bCs w:val="1"/>
                <w:color w:val="auto"/>
              </w:rPr>
              <w:t>December 30,</w:t>
            </w:r>
          </w:p>
        </w:tc>
        <w:tc>
          <w:tcPr>
            <w:tcW w:w="1260" w:type="dxa"/>
            <w:vAlign w:val="bottom"/>
            <w:gridSpan w:val="4"/>
          </w:tcPr>
          <w:p>
            <w:pPr>
              <w:jc w:val="right"/>
              <w:ind w:right="164"/>
              <w:spacing w:after="0" w:line="15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8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w w:val="90"/>
              </w:rPr>
              <w:t>December 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140,840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w w:val="89"/>
              </w:rPr>
              <w:t>136,759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410,671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393,302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17,664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gridSpan w:val="3"/>
          </w:tcPr>
          <w:p>
            <w:pPr>
              <w:jc w:val="right"/>
              <w:ind w:right="44"/>
              <w:spacing w:after="0"/>
              <w:rPr>
                <w:sz w:val="20"/>
                <w:szCs w:val="20"/>
                <w:color w:val="auto"/>
              </w:rPr>
            </w:pPr>
            <w:r>
              <w:rPr>
                <w:rFonts w:ascii="Arial" w:cs="Arial" w:eastAsia="Arial" w:hAnsi="Arial"/>
                <w:sz w:val="18"/>
                <w:szCs w:val="18"/>
                <w:color w:val="auto"/>
              </w:rPr>
              <w:t>22,319</w:t>
            </w:r>
          </w:p>
        </w:tc>
        <w:tc>
          <w:tcPr>
            <w:tcW w:w="260" w:type="dxa"/>
            <w:vAlign w:val="bottom"/>
          </w:tcPr>
          <w:p>
            <w:pPr>
              <w:spacing w:after="0"/>
              <w:rPr>
                <w:sz w:val="21"/>
                <w:szCs w:val="21"/>
                <w:color w:val="auto"/>
              </w:rPr>
            </w:pPr>
          </w:p>
        </w:tc>
        <w:tc>
          <w:tcPr>
            <w:tcW w:w="1100" w:type="dxa"/>
            <w:vAlign w:val="bottom"/>
            <w:gridSpan w:val="4"/>
          </w:tcPr>
          <w:p>
            <w:pPr>
              <w:jc w:val="right"/>
              <w:ind w:right="30"/>
              <w:spacing w:after="0"/>
              <w:rPr>
                <w:sz w:val="20"/>
                <w:szCs w:val="20"/>
                <w:color w:val="auto"/>
              </w:rPr>
            </w:pPr>
            <w:r>
              <w:rPr>
                <w:rFonts w:ascii="Arial" w:cs="Arial" w:eastAsia="Arial" w:hAnsi="Arial"/>
                <w:sz w:val="18"/>
                <w:szCs w:val="18"/>
                <w:color w:val="auto"/>
              </w:rPr>
              <w:t>49,312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58,949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42,189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38,892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118,544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116,865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Asia</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30,733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gridSpan w:val="3"/>
          </w:tcPr>
          <w:p>
            <w:pPr>
              <w:jc w:val="right"/>
              <w:ind w:right="44"/>
              <w:spacing w:after="0"/>
              <w:rPr>
                <w:sz w:val="20"/>
                <w:szCs w:val="20"/>
                <w:color w:val="auto"/>
              </w:rPr>
            </w:pPr>
            <w:r>
              <w:rPr>
                <w:rFonts w:ascii="Arial" w:cs="Arial" w:eastAsia="Arial" w:hAnsi="Arial"/>
                <w:sz w:val="18"/>
                <w:szCs w:val="18"/>
                <w:color w:val="auto"/>
              </w:rPr>
              <w:t>27,749</w:t>
            </w:r>
          </w:p>
        </w:tc>
        <w:tc>
          <w:tcPr>
            <w:tcW w:w="260" w:type="dxa"/>
            <w:vAlign w:val="bottom"/>
          </w:tcPr>
          <w:p>
            <w:pPr>
              <w:spacing w:after="0"/>
              <w:rPr>
                <w:sz w:val="21"/>
                <w:szCs w:val="21"/>
                <w:color w:val="auto"/>
              </w:rPr>
            </w:pPr>
          </w:p>
        </w:tc>
        <w:tc>
          <w:tcPr>
            <w:tcW w:w="1100" w:type="dxa"/>
            <w:vAlign w:val="bottom"/>
            <w:gridSpan w:val="4"/>
          </w:tcPr>
          <w:p>
            <w:pPr>
              <w:jc w:val="right"/>
              <w:ind w:right="30"/>
              <w:spacing w:after="0"/>
              <w:rPr>
                <w:sz w:val="20"/>
                <w:szCs w:val="20"/>
                <w:color w:val="auto"/>
              </w:rPr>
            </w:pPr>
            <w:r>
              <w:rPr>
                <w:rFonts w:ascii="Arial" w:cs="Arial" w:eastAsia="Arial" w:hAnsi="Arial"/>
                <w:sz w:val="18"/>
                <w:szCs w:val="18"/>
                <w:color w:val="auto"/>
              </w:rPr>
              <w:t>85,504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83,125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2,122</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5,809</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234,043</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gridSpan w:val="3"/>
          </w:tcPr>
          <w:p>
            <w:pPr>
              <w:jc w:val="right"/>
              <w:ind w:right="44"/>
              <w:spacing w:after="0"/>
              <w:rPr>
                <w:sz w:val="20"/>
                <w:szCs w:val="20"/>
                <w:color w:val="auto"/>
              </w:rPr>
            </w:pPr>
            <w:r>
              <w:rPr>
                <w:rFonts w:ascii="Arial" w:cs="Arial" w:eastAsia="Arial" w:hAnsi="Arial"/>
                <w:sz w:val="18"/>
                <w:szCs w:val="18"/>
                <w:b w:val="1"/>
                <w:bCs w:val="1"/>
                <w:color w:val="auto"/>
                <w:w w:val="89"/>
              </w:rPr>
              <w:t>227,841</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670,371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658,050</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ACCUMULATED OTHER COMPREHENSIVE LOSS</w:t>
            </w: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20" w:type="dxa"/>
            <w:vAlign w:val="bottom"/>
            <w:gridSpan w:val="6"/>
          </w:tcPr>
          <w:p>
            <w:pPr>
              <w:spacing w:after="0"/>
              <w:rPr>
                <w:sz w:val="20"/>
                <w:szCs w:val="20"/>
                <w:color w:val="auto"/>
              </w:rPr>
            </w:pPr>
            <w:r>
              <w:rPr>
                <w:rFonts w:ascii="Arial" w:cs="Arial" w:eastAsia="Arial" w:hAnsi="Arial"/>
                <w:sz w:val="18"/>
                <w:szCs w:val="18"/>
                <w:color w:val="auto"/>
              </w:rPr>
              <w:t>The components of Accumulated Other Comprehensive Loss are as follows: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560" w:type="dxa"/>
            <w:vAlign w:val="bottom"/>
            <w:gridSpan w:val="3"/>
            <w:vMerge w:val="restart"/>
          </w:tcPr>
          <w:p>
            <w:pPr>
              <w:jc w:val="right"/>
              <w:ind w:right="14"/>
              <w:spacing w:after="0"/>
              <w:rPr>
                <w:sz w:val="20"/>
                <w:szCs w:val="20"/>
                <w:color w:val="auto"/>
              </w:rPr>
            </w:pPr>
            <w:r>
              <w:rPr>
                <w:rFonts w:ascii="Arial" w:cs="Arial" w:eastAsia="Arial" w:hAnsi="Arial"/>
                <w:sz w:val="14"/>
                <w:szCs w:val="14"/>
                <w:b w:val="1"/>
                <w:bCs w:val="1"/>
                <w:color w:val="auto"/>
              </w:rPr>
              <w:t>Defined Benefit Plans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April 1, 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(29,835)</w:t>
            </w:r>
          </w:p>
        </w:tc>
        <w:tc>
          <w:tcPr>
            <w:tcW w:w="10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(2,272)</w:t>
            </w:r>
          </w:p>
        </w:tc>
        <w:tc>
          <w:tcPr>
            <w:tcW w:w="720" w:type="dxa"/>
            <w:vAlign w:val="bottom"/>
            <w:gridSpan w:val="3"/>
          </w:tcPr>
          <w:p>
            <w:pPr>
              <w:jc w:val="right"/>
              <w:ind w:right="38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(32,873)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w w:val="94"/>
              </w:rPr>
              <w:t>Other comprehensive income (loss) before reclassifications</w:t>
            </w:r>
            <w:r>
              <w:rPr>
                <w:rFonts w:ascii="Arial" w:cs="Arial" w:eastAsia="Arial" w:hAnsi="Arial"/>
                <w:sz w:val="25"/>
                <w:szCs w:val="25"/>
                <w:color w:val="auto"/>
                <w:w w:val="94"/>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7,430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Comprehensive Loss</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64"/>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7,430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December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(22,405)</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(2,272)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Presented net of income taxes, the amounts of which are insignificant.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9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Annual Report on Form 10-K for the year ended April 1, 2017. The following discussion may contain forward-looking statements and should be read in conjunction with the “Cautionary Statement Regarding Forward-Looking Information” in this discussion.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3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Haemonetics is a global healthcare company dedicated to providing a suite of innovative hematology products and solutions to customers to help them improve patient care and reduce the cost of healthcare. Our technology addresses important medical markets, including blood and plasma component collection, the surgical suite, and hospital transfusion services.</w:t>
      </w:r>
    </w:p>
    <w:p>
      <w:pPr>
        <w:spacing w:after="0" w:line="87"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Blood and its components (plasma, platelets, and red cells)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 Blood is essential to a modern healthcare system.</w:t>
      </w:r>
    </w:p>
    <w:p>
      <w:pPr>
        <w:spacing w:after="0" w:line="6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Haemonetics develops and markets a wide range of devices and solutions to serve our customers. We provide plasma collection systems and software which enable plasma fractionators to make life saving pharmaceuticals. We provide analytical devices for measuring hemostasis which enable healthcare providers to better manage their patients’ bleeding risk. Haemonetics makes blood processing systems and software which make blood donation more efficient and track life giving blood components. Finally, Haemonetics supplies systems and software which facilitate blood transfusions and cell processing.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3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products are organized into four categories for purposes of evaluating and developing their growth potential: Plasma, Blood Center, Cell Processing and Hemostasis Management.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as well as related donor management software. “Cell Processing” includes surgical blood salvage systems, specialized blood cell processing systems, disposables and blood transfusion management software. “Hemostasis Management” includes devices and methodologies for measuring coagulation characteristics of blood, such as our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Hemostasis Analyzer.</w:t>
      </w:r>
    </w:p>
    <w:p>
      <w:pPr>
        <w:spacing w:after="0" w:line="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believe that Plasma and Hemostasis Management have the greatest growth potential, while Cell Processing innovation offers an opportunity to increase market share and expand into new segments. Blood Center competes in challenging markets which require us to manage the business differently, including reducing costs, shrinking the scope of the current product line, and evaluating opportunities to exit unfavorable customer contracts. We are progressing toward a streamlined operating model with a management and cost structure that can bring about sustainable productivity improvement across the organization. Overall implementation of our new operating model began in fiscal 2017 and will continue into fiscal 2019.</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13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Built around our automated plasma collection devices and related disposables, our portfolio of products and services is designed to support multiple facets of plasma collector operations. We have a long-standing commitment to understanding our customers' collection and manufacturing processes. As a result, we aim to design equipment that is durable, dependable, and easy to use, and provide comprehensive training and support to our plasma collection customers.</w:t>
      </w:r>
    </w:p>
    <w:p>
      <w:pPr>
        <w:spacing w:after="0" w:line="52" w:lineRule="exact"/>
        <w:rPr>
          <w:sz w:val="20"/>
          <w:szCs w:val="20"/>
          <w:color w:val="auto"/>
        </w:rPr>
      </w:pPr>
    </w:p>
    <w:p>
      <w:pPr>
        <w:ind w:right="300"/>
        <w:spacing w:after="0" w:line="267" w:lineRule="auto"/>
        <w:rPr>
          <w:sz w:val="20"/>
          <w:szCs w:val="20"/>
          <w:color w:val="auto"/>
        </w:rPr>
      </w:pPr>
      <w:r>
        <w:rPr>
          <w:rFonts w:ascii="Arial" w:cs="Arial" w:eastAsia="Arial" w:hAnsi="Arial"/>
          <w:sz w:val="16"/>
          <w:szCs w:val="16"/>
          <w:color w:val="auto"/>
        </w:rPr>
        <w:t>Today, the vast majority of plasma collections worldwide are performed using automated collection technology because it is safer and more cost-effective. With our PCS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(Plasma Collection System) brand automated plasma collection technology, more plasma can be collected during any one donation event because the other blood components are returned to the donor through the sterile disposable sets used for the plasma donation procedure.</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offer multiple products necessary for plasma collection and storage, including PCS brand plasma collection equipment and disposables, plasma collection containers and intravenous solutions. We also offer a portfolio of integrated information technology platforms for plasma customers to manage their donors, operations, and supply chain. Our software products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react quickly to business changes, and implement opportunities to reduce costs.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13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offer automated blood component and manual whole blood collection systems to blood collection centers to collect blood products efficiently and cost effectively. We market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(Multicomponent Collection System) brand apheresis equipment which is designed to collect specific blood components integrated from the donor. Utilizing the MCS automated platelet collection protocols, blood centers collect one or more therapeutic “doses” of platelets during a single donation. The MCS two-unit protocol or double red cell collection device helps blood collectors optimize the collection of red cells by automating the blood separation function, eliminating the need for laboratory processing, and enabling the collection of two units of red cells from a single donor thus maximizing the amount of red cells collected per eligible donor and helping to mitigate red cell shortages in countries where this problem exists. Blood collectors can also use the MCS system to collect one unit of red cells and a "jumbo" (double) unit of plasma, or one unit of red cells and one unit of platelets from a single donor. The MCS plasma protocol, which provides the possibility of collecting 600-800ml of plasma for either transfusion to patients or for use by the pharmaceutical industry, completes the comprehensive portfolio of different blood component collection options on this device.</w:t>
      </w:r>
    </w:p>
    <w:p>
      <w:pPr>
        <w:spacing w:after="0" w:line="8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Haemonetics also offers a portfolio of products for manual whole blood collection and processing. Haemonetics' portfolio of disposable whole blood collection and component storage sets offer flexibility in collecting a unit of whole blood and the subsequent production and storage of the red blood cell, platelet or plasma products, including options for in-line or dockable filters for leukoreduction of any blood component.</w:t>
      </w:r>
    </w:p>
    <w:p>
      <w:pPr>
        <w:spacing w:after="0" w:line="71"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With the ACP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(Automated Cell Processor) brand, Haemonetics offers a solution to automate the washing and freezing of red cell components. The automated red cell washing procedure removes plasma proteins within the red cell units to provide a safer product for transfusion to frequently transfused patients, neonates, or patients with a history of transfusion reactions. The automated glycerolization and deglycerolization steps are required to prepare red cells for frozen storage. Freezing the red cell units can expand the shelf life of these products up to 10 years. Customers utilize this technology to implement strategic red cell inventories for large scale catastrophes, storage of rare blood types, or enhanced inventory management.</w:t>
      </w:r>
    </w:p>
    <w:p>
      <w:pPr>
        <w:spacing w:after="0" w:line="85"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Blood Center software solutions help blood center collectors improve efficiencies of blood collection and supply and help ensure donor safety. This includes solutions for blood drive planning, donor recruitment and retention, blood collection, component manufacturing and distribution. Our products SafeTrace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El Dorado Donor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donation and blood unit management systems span blood center operations and automate and track operations from the recruitment of the blood donor to the disposition of the blood product. Our Hemasphere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solution provides support for more efficient blood drive planning, and Donor Doc® and e-Donor® software help to improve recruitment and retention.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Hospital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Cell Processing</w:t>
      </w:r>
    </w:p>
    <w:p>
      <w:pPr>
        <w:spacing w:after="0" w:line="13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Haemonetics offers a range of solutions that improve a hospital's systems for acquiring blood, storing it in the hospital, and dispensing it efficiently and correctly. Over the last few years, hospitals have become increasingly focused on of their need to control costs and improve patient safety by managing blood more effectively. Our products and integrated solution platforms help hospitals optimize performance of blood acquisition, storage, and distribution.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 Salvage</w:t>
      </w:r>
    </w:p>
    <w:p>
      <w:pPr>
        <w:spacing w:after="0" w:line="131" w:lineRule="exact"/>
        <w:rPr>
          <w:sz w:val="20"/>
          <w:szCs w:val="20"/>
          <w:color w:val="auto"/>
        </w:rPr>
      </w:pPr>
    </w:p>
    <w:p>
      <w:pPr>
        <w:jc w:val="both"/>
        <w:ind w:right="440"/>
        <w:spacing w:after="0" w:line="203" w:lineRule="auto"/>
        <w:rPr>
          <w:sz w:val="20"/>
          <w:szCs w:val="20"/>
          <w:color w:val="auto"/>
        </w:rPr>
      </w:pPr>
      <w:r>
        <w:rPr>
          <w:rFonts w:ascii="Arial" w:cs="Arial" w:eastAsia="Arial" w:hAnsi="Arial"/>
          <w:sz w:val="18"/>
          <w:szCs w:val="18"/>
          <w:color w:val="auto"/>
        </w:rPr>
        <w:t>The Cell Saver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is a surgical blood salvage system targeted to procedures that involve mid to high-volume blood loss, such as cardiovascular or orthopedic surgeries. It has become the standard of care for these surgeries. The Cell Saver Elite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is our most advanced autotransfusion option to minimize allogeneic blood use for surgeries with medium to high blood loss.</w:t>
      </w:r>
    </w:p>
    <w:p>
      <w:pPr>
        <w:spacing w:after="0" w:line="108" w:lineRule="exact"/>
        <w:rPr>
          <w:sz w:val="20"/>
          <w:szCs w:val="20"/>
          <w:color w:val="auto"/>
        </w:rPr>
      </w:pPr>
    </w:p>
    <w:p>
      <w:pPr>
        <w:jc w:val="both"/>
        <w:ind w:right="160"/>
        <w:spacing w:after="0" w:line="226" w:lineRule="auto"/>
        <w:rPr>
          <w:sz w:val="20"/>
          <w:szCs w:val="20"/>
          <w:color w:val="auto"/>
        </w:rPr>
      </w:pPr>
      <w:r>
        <w:rPr>
          <w:rFonts w:ascii="Arial" w:cs="Arial" w:eastAsia="Arial" w:hAnsi="Arial"/>
          <w:sz w:val="18"/>
          <w:szCs w:val="18"/>
          <w:color w:val="auto"/>
        </w:rPr>
        <w:t>The OrthoPAT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surgical blood salvage system is targeted to orthopedic procedures, such as hip and knee replacements, which involve slower, lower volume blood loss that often occurs well after surgery. The system is designed to remain with the patient following surgery, to recover blood and produce a washed red cell product for autotransfusion.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Transfusion Management</w:t>
      </w:r>
    </w:p>
    <w:p>
      <w:pPr>
        <w:spacing w:after="0" w:line="131"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Our Transfusion Management solutions are designed to help provide safety, traceability and compliance from the hospital blood bank to the patient bedside and enable consistent care across the hospital network. The SafeTrace Tx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transfusion management software is considered the system of record for all hospital blood bank and transfusion information. BloodTrack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blood management software is a modular suite of blood management and bedside transfusion solutions that combines software with hardware components that act as an extension of the hospital’s blood bank information system. The software is designed to work with storage devices, including the BloodTrack HaemoBank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blood storage device.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Hemostasis Management</w:t>
      </w:r>
    </w:p>
    <w:p>
      <w:pPr>
        <w:spacing w:after="0" w:line="131" w:lineRule="exact"/>
        <w:rPr>
          <w:sz w:val="20"/>
          <w:szCs w:val="20"/>
          <w:color w:val="auto"/>
        </w:rPr>
      </w:pPr>
    </w:p>
    <w:p>
      <w:pPr>
        <w:ind w:right="140"/>
        <w:spacing w:after="0" w:line="213" w:lineRule="auto"/>
        <w:rPr>
          <w:sz w:val="20"/>
          <w:szCs w:val="20"/>
          <w:color w:val="auto"/>
        </w:rPr>
      </w:pPr>
      <w:r>
        <w:rPr>
          <w:rFonts w:ascii="Arial" w:cs="Arial" w:eastAsia="Arial" w:hAnsi="Arial"/>
          <w:sz w:val="18"/>
          <w:szCs w:val="18"/>
          <w:color w:val="auto"/>
        </w:rPr>
        <w:t>We have two device platforms which we market to hospitals and laboratories as an alternative to less comprehensive blood tests: the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5000 analyzer, which we acquired in the 2007 acquisition of Haemoscope Corporation, and the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6s device, which we license from Cora Healthcare, Inc., a company established by Haemoscope's founders. Under the license from Cora Healthcare, we have exclusive perpetual rights to manufacture and commercialize TEG 6s in hospitals and hospital laboratories.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Both of our TEG systems are blood diagnostic instruments that measure a patient's hemostasis. This information enables caregivers to decide the best blood-related clinical treatment for the patient in order to minimize blood loss and reduce clotting risk. The TEG 5000 analyzer is approved for a broad set of indications in all of our markets. The TEG 6s and TEG Manager are approved for the same set of indications as the TEG 5000 in Europe, Australia and Japan. In the U.S., TEG 6s is approved for limited indications, including cardiovascular surgery and cardiology. We are pursuing a broader set of indications for the TEG 6s in the U.S., including trauma.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Reform</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22, 2017, the Tax Cuts and Jobs Act (the "Act") was enacted in the United States. The Act reduces the U.S. federal corporate tax rate from 35% to 21%, requires companies to pay a one-time transition tax on earnings of certain foreign subsidiaries that were previously tax deferred and creates new taxes on certain foreign sourced earnings. As of December 30, 2017, we had not yet completed our accounting for the tax effects of the enactment of the Act, however, we have made a reasonable estimate of the effects on our existing deferred tax balances and one-time transition tax. During the three and nine months ended December 30, 2017, we recognized a provisional amount of $5.4 million, which is included as a component of income tax expense in our consolidated statements of (loss) income. Please see the section entitled “Income Taxes” in this discussion for a more complete explanation of the reported impact of this change in legislation.</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reduction in the federal corporate tax rate and the one-time transition tax, which we have accounted for with provisional estimates as of December 30, 2017, we will also continue to analyze and monitor the other impacts of the Act that become effective for the Company in fiscal 2019 including the provisions related to Global Intangible Low Taxed Income, Foreign Derived Intangible Income, Base Erosion Anti-Abuse Tax, as well as other provisions which would limit the deductibility of future expenses.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NexSys PCS</w:t>
      </w:r>
      <w:r>
        <w:rPr>
          <w:rFonts w:ascii="Arial" w:cs="Arial" w:eastAsia="Arial" w:hAnsi="Arial"/>
          <w:sz w:val="25"/>
          <w:szCs w:val="25"/>
          <w:i w:val="1"/>
          <w:iCs w:val="1"/>
          <w:color w:val="auto"/>
          <w:vertAlign w:val="superscript"/>
        </w:rPr>
        <w:t>TM</w:t>
      </w:r>
    </w:p>
    <w:p>
      <w:pPr>
        <w:spacing w:after="0" w:line="50"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In July 2017, we received United States Food and Drug Administration ("FDA") 510(k) clearance for our NexSys PCS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plasmapheresis system (formerly referred to as PCS 300). We have begun limited production of the devices and we expect to pursue further regulatory clearances for additional enhancements to the overall product offering.</w:t>
      </w:r>
    </w:p>
    <w:p>
      <w:pPr>
        <w:spacing w:after="0" w:line="10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planned roll out of this new platform includes the placement of a significant number of new devices. Such placements will require meaningful capital expenditures and new customer contracts that reflect pricing and volumes appropriate to these investments. As of December 30, 2017, approximately 20,000 of our Haemonetics owned PCS2 devices ("PCS2") are placed with customers.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April 27, 2017, we sold our SEBRA line of benchtop and hand sealers to Machine Solutions Inc. because it was no longer aligned with our long-term strategic objectives. In connection with this transaction, we received net proceeds of $9.0 million and recorded a pre-tax gain of $8.0 million. The proceeds received were subject to a post-closing adjustment based on final asset values as determined during the 90 day transition period. During the second quarter of fiscal 2018, the 90 day transition period ended and there were no post-close adjustments necessary.</w:t>
      </w:r>
    </w:p>
    <w:p>
      <w:pPr>
        <w:spacing w:after="0" w:line="7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SEBRA portfolio included a suite of products which primarily include radio frequency sealers that are used to seal tubing as part of the collection of whole blood and blood components, particularly plasma. The SEBRA product line generated approximately $6.5 million of revenue in our Plasma business unit in fiscal 2017.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Initiative</w:t>
      </w:r>
    </w:p>
    <w:p>
      <w:pPr>
        <w:spacing w:after="0" w:line="1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November 1, 2017, we launched a Complexity Reduction Initiative (the "2018 Program"), a company-wide restructuring program designed to improve operational performance and reduce cost, freeing up resources to invest in accelerated growth. This program includes a reduction of headcount and operating costs which will enable a more streamlined organizational structure. We expect to incur aggregate charges between $50 million and $60 million associated with these actions, of which we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expect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We expect savings from this program of approximately $80 million on an annualized basis once the program is completed. During the three and nine months ended December 30, 2017, we incurred $31.7 million of restructuring and turnaround costs under this program.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Recall</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June 2016, we issued a voluntary recall of certain whole blood collection kits sold to our Blood Center customers in the U.S. The recall resulted from some collection sets' filters failing to adequately remove leukocytes from collected blood. As a result of the recall, our Blood Center customers may have conducted tests to confirm that the collected blood was adequately leukoreduced, sold the collected blood labeled as non-leukoreduced at a lower price or discarded the collected blood. During fiscal 2017, we recorded $3.7 million of charges associated with customer returns and inventory reserves and $3.4 million of charges associated with customer claims. We have an enforceable insurance policy in place which will provide coverage for a portion of the customer claims. During fiscal 2017, we recorded $2.9 million of insurance receivables associated with the $3.4 million of charges from customer claims.</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January 2018, we entered into formal mediation with a group of customers responsible for substantially all of the total outstanding claims against us. Based upon the parameters of a proposed settlement for the outstanding customer claims that are subject to on-going negotiations, we incurred an additional $5.1 million of charges. The incremental charges were partially offset by an additional $2.1 million of insurance receivables. Both the additional charges and insurance receivables are included in our results for the three and nine months ended December 30, 2017.</w:t>
      </w:r>
    </w:p>
    <w:p>
      <w:pPr>
        <w:spacing w:after="0" w:line="17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December 30, 2017, we had recorded a cumulative total of $7.2 million of net charges associated with this recall, which consisted of $3.7 million of charges associated with customer returns and inventory reserves and $8.5 million of other customer claims, partially offset by $5.0 million of insurance receivables.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440" w:type="dxa"/>
            <w:vAlign w:val="bottom"/>
            <w:tcBorders>
              <w:bottom w:val="single" w:sz="8" w:color="auto"/>
            </w:tcBorders>
          </w:tcPr>
          <w:p>
            <w:pPr>
              <w:spacing w:after="0"/>
              <w:rPr>
                <w:sz w:val="16"/>
                <w:szCs w:val="16"/>
                <w:color w:val="auto"/>
              </w:rPr>
            </w:pPr>
          </w:p>
        </w:tc>
      </w:tr>
      <w:tr>
        <w:trPr>
          <w:trHeight w:val="152"/>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30,</w:t>
            </w:r>
          </w:p>
        </w:tc>
        <w:tc>
          <w:tcPr>
            <w:tcW w:w="20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5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20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42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00" w:type="dxa"/>
            <w:vAlign w:val="bottom"/>
          </w:tcPr>
          <w:p>
            <w:pPr>
              <w:spacing w:after="0"/>
              <w:rPr>
                <w:sz w:val="16"/>
                <w:szCs w:val="16"/>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200" w:type="dxa"/>
            <w:vAlign w:val="bottom"/>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40" w:type="dxa"/>
            <w:vAlign w:val="bottom"/>
          </w:tcPr>
          <w:p>
            <w:pPr>
              <w:jc w:val="right"/>
              <w:ind w:right="313"/>
              <w:spacing w:after="0"/>
              <w:rPr>
                <w:sz w:val="20"/>
                <w:szCs w:val="20"/>
                <w:color w:val="auto"/>
              </w:rPr>
            </w:pPr>
            <w:r>
              <w:rPr>
                <w:rFonts w:ascii="Arial" w:cs="Arial" w:eastAsia="Arial" w:hAnsi="Arial"/>
                <w:sz w:val="14"/>
                <w:szCs w:val="14"/>
                <w:b w:val="1"/>
                <w:bCs w:val="1"/>
                <w:color w:val="auto"/>
              </w:rPr>
              <w:t>(Decrease)</w:t>
            </w:r>
          </w:p>
        </w:tc>
      </w:tr>
      <w:tr>
        <w:trPr>
          <w:trHeight w:val="243"/>
        </w:trPr>
        <w:tc>
          <w:tcPr>
            <w:tcW w:w="2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234,043</w:t>
            </w:r>
          </w:p>
        </w:tc>
        <w:tc>
          <w:tcPr>
            <w:tcW w:w="100" w:type="dxa"/>
            <w:vAlign w:val="bottom"/>
          </w:tcPr>
          <w:p>
            <w:pPr>
              <w:spacing w:after="0"/>
              <w:rPr>
                <w:sz w:val="21"/>
                <w:szCs w:val="21"/>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227,841</w:t>
            </w:r>
          </w:p>
        </w:tc>
        <w:tc>
          <w:tcPr>
            <w:tcW w:w="10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670,371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658,050</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1.9 %</w:t>
            </w: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111,295</w:t>
            </w:r>
          </w:p>
        </w:tc>
        <w:tc>
          <w:tcPr>
            <w:tcW w:w="10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101,079</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10.1 %</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307,522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296,383</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70"/>
        </w:trPr>
        <w:tc>
          <w:tcPr>
            <w:tcW w:w="24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47.6 %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44.4%</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45.0%</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110,282</w:t>
            </w:r>
          </w:p>
        </w:tc>
        <w:tc>
          <w:tcPr>
            <w:tcW w:w="10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79,867</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38.1 %</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265,640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258,258</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21,212</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(95.2)%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41,882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38,125</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9.9 %</w:t>
            </w:r>
          </w:p>
        </w:tc>
      </w:tr>
      <w:tr>
        <w:trPr>
          <w:trHeight w:val="270"/>
        </w:trPr>
        <w:tc>
          <w:tcPr>
            <w:tcW w:w="24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0.4 %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9.3%</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5.8%</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w w:val="94"/>
              </w:rPr>
              <w:t>Interest and other expense,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(6,414)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56"/>
        </w:trPr>
        <w:tc>
          <w:tcPr>
            <w:tcW w:w="2420" w:type="dxa"/>
            <w:vAlign w:val="bottom"/>
          </w:tcPr>
          <w:p>
            <w:pPr>
              <w:ind w:left="40"/>
              <w:spacing w:after="0"/>
              <w:rPr>
                <w:sz w:val="20"/>
                <w:szCs w:val="20"/>
                <w:color w:val="auto"/>
              </w:rPr>
            </w:pPr>
            <w:r>
              <w:rPr>
                <w:rFonts w:ascii="Arial" w:cs="Arial" w:eastAsia="Arial" w:hAnsi="Arial"/>
                <w:sz w:val="18"/>
                <w:szCs w:val="18"/>
                <w:color w:val="auto"/>
              </w:rPr>
              <w:t>Income before provision for</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18,937</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(98.9)%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46,320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31,711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46.1 %</w:t>
            </w: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6,754</w:t>
            </w:r>
          </w:p>
        </w:tc>
        <w:tc>
          <w:tcPr>
            <w:tcW w:w="10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90.6 %</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12,628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6,839</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84.6 %</w:t>
            </w:r>
          </w:p>
        </w:tc>
      </w:tr>
      <w:tr>
        <w:trPr>
          <w:trHeight w:val="270"/>
        </w:trPr>
        <w:tc>
          <w:tcPr>
            <w:tcW w:w="242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3,262.8 %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18.7%</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21.6%</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15,393</w:t>
            </w:r>
          </w:p>
        </w:tc>
        <w:tc>
          <w:tcPr>
            <w:tcW w:w="100" w:type="dxa"/>
            <w:vAlign w:val="bottom"/>
          </w:tcPr>
          <w:p>
            <w:pPr>
              <w:spacing w:after="0"/>
              <w:rPr>
                <w:sz w:val="23"/>
                <w:szCs w:val="23"/>
                <w:color w:val="auto"/>
              </w:rPr>
            </w:pPr>
          </w:p>
        </w:tc>
        <w:tc>
          <w:tcPr>
            <w:tcW w:w="1540" w:type="dxa"/>
            <w:vAlign w:val="bottom"/>
            <w:gridSpan w:val="2"/>
          </w:tcPr>
          <w:p>
            <w:pPr>
              <w:ind w:left="900"/>
              <w:spacing w:after="0"/>
              <w:rPr>
                <w:sz w:val="20"/>
                <w:szCs w:val="20"/>
                <w:color w:val="auto"/>
              </w:rPr>
            </w:pPr>
            <w:r>
              <w:rPr>
                <w:rFonts w:ascii="Arial" w:cs="Arial" w:eastAsia="Arial" w:hAnsi="Arial"/>
                <w:sz w:val="18"/>
                <w:szCs w:val="18"/>
                <w:i w:val="1"/>
                <w:iCs w:val="1"/>
                <w:color w:val="auto"/>
              </w:rPr>
              <w:t>n/m</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33,692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24,872</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35.5 %</w:t>
            </w:r>
          </w:p>
        </w:tc>
      </w:tr>
      <w:tr>
        <w:trPr>
          <w:trHeight w:val="270"/>
        </w:trPr>
        <w:tc>
          <w:tcPr>
            <w:tcW w:w="24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6.8%</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3.8%</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6"/>
        </w:trPr>
        <w:tc>
          <w:tcPr>
            <w:tcW w:w="2420" w:type="dxa"/>
            <w:vAlign w:val="bottom"/>
          </w:tcPr>
          <w:p>
            <w:pPr>
              <w:ind w:left="40"/>
              <w:spacing w:after="0"/>
              <w:rPr>
                <w:sz w:val="20"/>
                <w:szCs w:val="20"/>
                <w:color w:val="auto"/>
              </w:rPr>
            </w:pPr>
            <w:r>
              <w:rPr>
                <w:rFonts w:ascii="Arial" w:cs="Arial" w:eastAsia="Arial" w:hAnsi="Arial"/>
                <w:sz w:val="18"/>
                <w:szCs w:val="18"/>
                <w:color w:val="auto"/>
              </w:rPr>
              <w:t>Net (loss) income per share -</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1540" w:type="dxa"/>
            <w:vAlign w:val="bottom"/>
            <w:gridSpan w:val="2"/>
          </w:tcPr>
          <w:p>
            <w:pPr>
              <w:ind w:left="900"/>
              <w:spacing w:after="0"/>
              <w:rPr>
                <w:sz w:val="20"/>
                <w:szCs w:val="20"/>
                <w:color w:val="auto"/>
              </w:rPr>
            </w:pPr>
            <w:r>
              <w:rPr>
                <w:rFonts w:ascii="Arial" w:cs="Arial" w:eastAsia="Arial" w:hAnsi="Arial"/>
                <w:sz w:val="18"/>
                <w:szCs w:val="18"/>
                <w:i w:val="1"/>
                <w:iCs w:val="1"/>
                <w:color w:val="auto"/>
              </w:rPr>
              <w:t>n/m</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33.3 %</w:t>
            </w: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w w:val="97"/>
              </w:rPr>
              <w:t>Net income per share -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3"/>
                <w:szCs w:val="23"/>
                <w:color w:val="auto"/>
              </w:rPr>
            </w:pPr>
          </w:p>
        </w:tc>
        <w:tc>
          <w:tcPr>
            <w:tcW w:w="1540" w:type="dxa"/>
            <w:vAlign w:val="bottom"/>
            <w:gridSpan w:val="2"/>
          </w:tcPr>
          <w:p>
            <w:pPr>
              <w:ind w:left="900"/>
              <w:spacing w:after="0"/>
              <w:rPr>
                <w:sz w:val="20"/>
                <w:szCs w:val="20"/>
                <w:color w:val="auto"/>
              </w:rPr>
            </w:pPr>
            <w:r>
              <w:rPr>
                <w:rFonts w:ascii="Arial" w:cs="Arial" w:eastAsia="Arial" w:hAnsi="Arial"/>
                <w:sz w:val="18"/>
                <w:szCs w:val="18"/>
                <w:i w:val="1"/>
                <w:iCs w:val="1"/>
                <w:color w:val="auto"/>
              </w:rPr>
              <w:t>n/m</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31.3 %</w:t>
            </w:r>
          </w:p>
        </w:tc>
      </w:tr>
    </w:tbl>
    <w:p>
      <w:pPr>
        <w:spacing w:after="0" w:line="13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Net revenues increased 2.7% and 1.9% for the three and nine months ended December 30, 2017, as compared to the same periods of fiscal 2017. Without the effect of foreign exchange, net revenues increased 1.1% and 1.4% for the three and nine months ended December 30, 2017, as compared to the same periods of fiscal 2017. Revenue increases in Plasma, Hemostasis Management and Cell Processing were partially offset by declines in our Blood Center business unit during the three and nine months ended December 30,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Operating income decreased for the three months ended December 30, 2017, as compared to the same period of fiscal 2017, primarily due to higher restructuring and turnaround costs incurred in connection with the 2018 Program and increased variable compensation. Operating income increased for the nine months ended December 30, 2017, as compared to the same period of fiscal 2017, due to annualized savings resulting from the 2017 Program, favorable mix and the impact of inventory reserves and the Whole Blood filter recall recorded during the prior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1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6"/>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3"/>
                <w:szCs w:val="13"/>
                <w:color w:val="auto"/>
              </w:rPr>
            </w:pPr>
          </w:p>
        </w:tc>
        <w:tc>
          <w:tcPr>
            <w:tcW w:w="116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3"/>
                <w:szCs w:val="13"/>
                <w:color w:val="auto"/>
              </w:rPr>
            </w:pPr>
          </w:p>
        </w:tc>
        <w:tc>
          <w:tcPr>
            <w:tcW w:w="14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00" w:type="dxa"/>
            <w:vAlign w:val="bottom"/>
            <w:vMerge w:val="restart"/>
          </w:tcPr>
          <w:p>
            <w:pPr>
              <w:spacing w:after="0"/>
              <w:rPr>
                <w:sz w:val="13"/>
                <w:szCs w:val="13"/>
                <w:color w:val="auto"/>
              </w:rPr>
            </w:pPr>
          </w:p>
        </w:tc>
        <w:tc>
          <w:tcPr>
            <w:tcW w:w="14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8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140,840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136,759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93,203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91,082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234,043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227,841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100" w:firstLine="8"/>
        <w:spacing w:after="0" w:line="273" w:lineRule="auto"/>
        <w:tabs>
          <w:tab w:leader="none" w:pos="127" w:val="left"/>
        </w:tabs>
        <w:numPr>
          <w:ilvl w:val="0"/>
          <w:numId w:val="6"/>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-228600</wp:posOffset>
            </wp:positionV>
            <wp:extent cx="17837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3"/>
                <w:szCs w:val="13"/>
                <w:color w:val="auto"/>
              </w:rPr>
            </w:pPr>
          </w:p>
        </w:tc>
        <w:tc>
          <w:tcPr>
            <w:tcW w:w="116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3"/>
                <w:szCs w:val="13"/>
                <w:color w:val="auto"/>
              </w:rPr>
            </w:pPr>
          </w:p>
        </w:tc>
        <w:tc>
          <w:tcPr>
            <w:tcW w:w="14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Reported growth</w:t>
            </w:r>
          </w:p>
        </w:tc>
        <w:tc>
          <w:tcPr>
            <w:tcW w:w="100" w:type="dxa"/>
            <w:vAlign w:val="bottom"/>
            <w:vMerge w:val="restart"/>
          </w:tcPr>
          <w:p>
            <w:pPr>
              <w:spacing w:after="0"/>
              <w:rPr>
                <w:sz w:val="13"/>
                <w:szCs w:val="13"/>
                <w:color w:val="auto"/>
              </w:rPr>
            </w:pPr>
          </w:p>
        </w:tc>
        <w:tc>
          <w:tcPr>
            <w:tcW w:w="14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Currency impact</w:t>
            </w:r>
          </w:p>
        </w:tc>
        <w:tc>
          <w:tcPr>
            <w:tcW w:w="120" w:type="dxa"/>
            <w:vAlign w:val="bottom"/>
            <w:vMerge w:val="restart"/>
          </w:tcPr>
          <w:p>
            <w:pPr>
              <w:spacing w:after="0"/>
              <w:rPr>
                <w:sz w:val="13"/>
                <w:szCs w:val="13"/>
                <w:color w:val="auto"/>
              </w:rPr>
            </w:pPr>
          </w:p>
        </w:tc>
        <w:tc>
          <w:tcPr>
            <w:tcW w:w="146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410,671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393,302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259,700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264,748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670,371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658,050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100" w:firstLine="8"/>
        <w:spacing w:after="0" w:line="273" w:lineRule="auto"/>
        <w:tabs>
          <w:tab w:leader="none" w:pos="127" w:val="left"/>
        </w:tabs>
        <w:numPr>
          <w:ilvl w:val="0"/>
          <w:numId w:val="7"/>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-228600</wp:posOffset>
            </wp:positionV>
            <wp:extent cx="17837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principal operations are in the U.S., Europe, Japan and other parts of Asia. Our products are marketed in approximately 90 countries around the world through a combination of our direct sales force, independent distributors and agents. Our revenue generated outside the U.S. was 39.8% and 38.7% of total net revenues for the three and nine months ended December 30, 2017, respectively, as compared to 40.0% and 40.2% for the three and nine months ended December 31, 2016, respectively.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8"/>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3"/>
                <w:szCs w:val="13"/>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00" w:type="dxa"/>
            <w:vAlign w:val="bottom"/>
            <w:vMerge w:val="restart"/>
          </w:tcPr>
          <w:p>
            <w:pPr>
              <w:spacing w:after="0"/>
              <w:rPr>
                <w:sz w:val="13"/>
                <w:szCs w:val="13"/>
                <w:color w:val="auto"/>
              </w:rPr>
            </w:pPr>
          </w:p>
        </w:tc>
        <w:tc>
          <w:tcPr>
            <w:tcW w:w="14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Plasma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113,098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108,655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Blood Center</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76,354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Cell Processing</w:t>
            </w: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26,829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25,918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Hemostasis Management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16,914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50"/>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234,043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227,841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8890</wp:posOffset>
            </wp:positionV>
            <wp:extent cx="1783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5" w:lineRule="exact"/>
        <w:rPr>
          <w:sz w:val="20"/>
          <w:szCs w:val="20"/>
          <w:color w:val="auto"/>
        </w:rPr>
      </w:pPr>
    </w:p>
    <w:p>
      <w:pPr>
        <w:ind w:right="100" w:firstLine="8"/>
        <w:spacing w:after="0" w:line="273" w:lineRule="auto"/>
        <w:tabs>
          <w:tab w:leader="none" w:pos="127" w:val="left"/>
        </w:tabs>
        <w:numPr>
          <w:ilvl w:val="0"/>
          <w:numId w:val="8"/>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-228600</wp:posOffset>
            </wp:positionV>
            <wp:extent cx="1783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3"/>
                <w:szCs w:val="13"/>
                <w:color w:val="auto"/>
              </w:rPr>
            </w:pPr>
          </w:p>
        </w:tc>
        <w:tc>
          <w:tcPr>
            <w:tcW w:w="11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3"/>
                <w:szCs w:val="13"/>
                <w:color w:val="auto"/>
              </w:rPr>
            </w:pPr>
          </w:p>
        </w:tc>
        <w:tc>
          <w:tcPr>
            <w:tcW w:w="14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Reported growth</w:t>
            </w:r>
          </w:p>
        </w:tc>
        <w:tc>
          <w:tcPr>
            <w:tcW w:w="100" w:type="dxa"/>
            <w:vAlign w:val="bottom"/>
            <w:vMerge w:val="restart"/>
          </w:tcPr>
          <w:p>
            <w:pPr>
              <w:spacing w:after="0"/>
              <w:rPr>
                <w:sz w:val="13"/>
                <w:szCs w:val="13"/>
                <w:color w:val="auto"/>
              </w:rPr>
            </w:pPr>
          </w:p>
        </w:tc>
        <w:tc>
          <w:tcPr>
            <w:tcW w:w="14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Currency impact</w:t>
            </w:r>
          </w:p>
        </w:tc>
        <w:tc>
          <w:tcPr>
            <w:tcW w:w="120" w:type="dxa"/>
            <w:vAlign w:val="bottom"/>
            <w:vMerge w:val="restart"/>
          </w:tcPr>
          <w:p>
            <w:pPr>
              <w:spacing w:after="0"/>
              <w:rPr>
                <w:sz w:val="13"/>
                <w:szCs w:val="13"/>
                <w:color w:val="auto"/>
              </w:rPr>
            </w:pPr>
          </w:p>
        </w:tc>
        <w:tc>
          <w:tcPr>
            <w:tcW w:w="14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Plasma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324,376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309,868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Blood Center</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211,502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221,567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Cell Processing</w:t>
            </w:r>
          </w:p>
        </w:tc>
        <w:tc>
          <w:tcPr>
            <w:tcW w:w="1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78,929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77,949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Hemostasis Management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55,564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48,666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50"/>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670,371</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658,050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8890</wp:posOffset>
            </wp:positionV>
            <wp:extent cx="1783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5" w:lineRule="exact"/>
        <w:rPr>
          <w:sz w:val="20"/>
          <w:szCs w:val="20"/>
          <w:color w:val="auto"/>
        </w:rPr>
      </w:pPr>
    </w:p>
    <w:p>
      <w:pPr>
        <w:ind w:right="100" w:firstLine="8"/>
        <w:spacing w:after="0" w:line="273" w:lineRule="auto"/>
        <w:tabs>
          <w:tab w:leader="none" w:pos="127" w:val="left"/>
        </w:tabs>
        <w:numPr>
          <w:ilvl w:val="0"/>
          <w:numId w:val="9"/>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-228600</wp:posOffset>
            </wp:positionV>
            <wp:extent cx="1783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13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Plasma revenue increased 4.1% and 4.7% for the three and nine months ended December 30, 2017, as compared to the same periods of fiscal 2017. Without the effect of foreign exchange, plasma revenue increased 3.4% and 4.5% for the three and nine months ended December 30, 2017, as compared to the same periods of fiscal 2017. This revenue growth was primarily driven by an increase in sales of plasma disposables and software during the three and nine months ended December 30, 2017 due to continued strong performance in the U.S. This increase was partially offset by a decline in liquid solutions revenue and a decrease in equipment revenue resulting from the divestiture of our SEBRA product line.</w:t>
      </w:r>
    </w:p>
    <w:p>
      <w:pPr>
        <w:spacing w:after="0" w:line="7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have continuing delays in the expansion of our liquid solutions production capacity that require us or our customers to continue to obtain alternative sources of supply. We expect purchases from these alternate sources to continue until we can complete the expansion and produce solutions at the necessary level. While these purchases continue, we will see a reduction in revenue from our liquid solutions business and increased costs to serve our customers.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Platelet</w:t>
      </w:r>
    </w:p>
    <w:p>
      <w:pPr>
        <w:spacing w:after="0" w:line="13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Platelet revenue declined by 1.2% and 4.6% for the three and nine months ended December 30, 2017, as compared to the same periods of fiscal 2017. Without the effect of foreign exchange, platelet revenue decreased 5.5% and 5.8% for the three and nine months ended December 30, 2017, as compared to the same periods of fiscal 2017. The decrease during the three months ended December 30, 2017, excluding the impact of foreign exchange, was primarily due to declines in Europe and the continued market shift toward double dose collection techniques in Japan. The decrease during the nine months ended December 30, 2017, excluding the impact of foreign exchange, was primarily due to the impact of double dose collections in Japan, partially offset by order timing in the prior period.</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Improved collection efficiencies that increase the yield of platelets per collection have resulted in flat markets for platelet usage and related disposables in Japan. Within these flat markets, the use of "double dose" collection methods and other alternative collection procedures have increased. In Japan, usage of double dose collections comprised approximately 48% of all platelets collected during the nine months ended December 30, 2017. We expect the shift toward double dose collection techniques to result in an overall decline in revenue during fiscal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 Cell and Whole Blood</w:t>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Red cell revenue decreased 10.6% and 11.0% for the three and nine months ended December 30, 2017, as compared to the same periods of fiscal 2017. Without the effect of foreign exchange, red cell revenue decreased 11.2% and 11.3% for the three and nine months ended December 30, 2017, as compared to the same periods of fiscal 2017. During fiscal 2016, the American Red Cross and two group purchasing organizations representing other U.S. blood collectors ("Blood Center GPOs") requested updated contracts for sole source supply on apheresis red cell collections. The American Red Cross contract resulted in our gaining 100% share of their apheresis red cell collection business and higher revenue volumes, but at lower prices. The impact of the price concessions began in the third quarter of fiscal 2016, while the achievement of 100% share of the American Red Cross' business occurred in the fourth quarter of fiscal 2017. Although price declines in this contract had a negative impact in the first half of fiscal 2018, the impact of these price declines moderated during the third quarter of fiscal 2018 after annualization of the final price concessions. The loss of a customer contract also contributed to the decline during the three and nine months ended December 30, 2017.</w:t>
      </w:r>
    </w:p>
    <w:p>
      <w:pPr>
        <w:spacing w:after="0" w:line="87"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Whole blood revenue increased 0.8% and 0.5% for the three and nine months ended December 30, 2017, as compared to the same periods of fiscal 2017. Without the effect of foreign exchange, whole blood revenue was flat for the three and nine months ended December 30, 2017, as compared to the same periods of fiscal 2017. Although we expect the demand for whole blood disposable products in the U.S. to continue to decrease in fiscal 2018 due to a sustained decline in transfusion rates and actions taken by hospitals to improve blood management techniques and protocols, we continued to see a moderation in the rate of decline of this market during the third quarter of fiscal 2018. We expect to see continued declines in transfusion rates and for the market to remain price-focused and highly competitive for the foreseeable future.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Equipment and Other</w:t>
      </w:r>
    </w:p>
    <w:p>
      <w:pPr>
        <w:spacing w:after="0" w:line="2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Blood Center software, equipment and other revenue decreased 11.7% and 13.5% for the three and nine months ended December 30, 2017, as compared to the same periods of fiscal 2017. Without the effect of foreign exchange, Blood Center software, equipment and other revenue decreased 13.8% and 14.2% for the three and nine months ended December 30, 2017, as compared to the same periods of fiscal 2017. These decreases for both the three and nine months ended December 30, 2017 were largely attributable to order timing in Europe and Asia. A one-time sale of equipment to the American Red Cross in the prior period to support our increased share of their apheresis red cell collection business also contributed to the decline during the nine months ended December 30, 2017.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Cell Processing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 Salvage</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Cell Salvage revenue consists primarily of the Cell Saver and OrthoPAT products. Cell Saver revenue increased 7.0% during the three months ended December 30, 2017 and declined 1.4% during the nine months ended December 30, 2017, as compared to the same periods of fiscal 2017. Without the effect of foreign exchange, Cell Saver revenue increased 3.3% during the three months ended December 30, 2017 and decreased 2.3% during the nine months ended December 30, 2017 as compared with the same periods of fiscal 2017. The increase during the three months ended December 30, 2017 was primarily in Asia and the U.S. The decrease during the nine months ended December 30, 2017 was attributable to declines in Japan and Western Europe. OrthoPAT revenue decreased 35.5% and 30.8% for the three and nine months ended December 30, 2017, as compared to the same periods of fiscal 2017. Without the effect of foreign exchange, OrthoPAT revenue decreased 37.3% and 31.4% for the three and nine months ended December 30, 2017, as compared to the same periods of fiscal 2017. Better blood management has reduced orthopedic blood loss and continues to impact demand for OrthoPAT. Recent trends in blood management, particularly the adoption of tranexamic acid to treat and prevent orthopedic post-operative blood loss, continue to lessen hospital use of OrthoPAT.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Transfusion Management</w:t>
      </w:r>
    </w:p>
    <w:p>
      <w:pPr>
        <w:spacing w:after="0" w:line="11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Transfusion Management software revenue includes BloodTrack, SafeTrace Tx and other hospital software. Transfusion Management software revenue increased 7.7% and 11.2% for the three and nine months ended December 30, 2017, as compared to the same periods of fiscal 2017. Without the effect of foreign exchange, Transfusion Management software revenue increased by 5.7% and 10.5% for the three and nine months ended December 30, 2017 as compared to the same periods of fiscal 2017, due to BloodTrack growth in the U.S. and Europe and SafeTrace Tx growth in the 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Hemostasis Management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 from our Hemostasis Management products increased 17.6% and 14.2% for the three and nine months ended December 30, 2017, as compared to the same periods of fiscal 2017. Without the effect of foreign exchange, Hemostasis Management revenue increased 15.7% and 14.2% for the three and nine months ended December 30, 2017, as compared to the same periods of fiscal 2017. The revenue increase was primarily attributable to the growth of TEG disposables, principally in the U.S. and China. The TEG 6s and TEG Manager are approved for the same set of indications as the TEG 5000 in Europe, Australia and Japan. In the U.S., TEG 6s is approved for limited indications, including cardiovascular surgery and cardiology. The release of TEG 6s continues to contribute significantly to the overall growth in Hemostasis Management in the U.S. and Europe. We are pursuing a broader set of indications for the TEG 6s in the U.S., including trauma.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Three Months Ended</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Nine Months Ended</w:t>
            </w:r>
          </w:p>
        </w:tc>
        <w:tc>
          <w:tcPr>
            <w:tcW w:w="1300" w:type="dxa"/>
            <w:vAlign w:val="bottom"/>
            <w:tcBorders>
              <w:bottom w:val="single" w:sz="8" w:color="auto"/>
            </w:tcBorders>
          </w:tcPr>
          <w:p>
            <w:pPr>
              <w:spacing w:after="0"/>
              <w:rPr>
                <w:sz w:val="16"/>
                <w:szCs w:val="16"/>
                <w:color w:val="auto"/>
              </w:rPr>
            </w:pPr>
          </w:p>
        </w:tc>
      </w:tr>
      <w:tr>
        <w:trPr>
          <w:trHeight w:val="152"/>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56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 Increase/</w:t>
            </w: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111,295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101,079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  $</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307,522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296,383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Gross profit increased 10.1% and 3.8% for the three and nine months ended December 30, 2017, as compared to the same periods of fiscal 2017. Without the effect of foreign exchange, gross profit increased 6.9% and 3.3% for the three and nine months ended December 30, 2017, as compared to the same periods of fiscal 2017. Gross profit margin increased 320 and 90 basis points for the three and nine months ended December 30, 2017, as compared to the same periods of fiscal 2017. The increase in gross profit margin during the three and nine months ended December 30, 2017 was primarily due to favorable mix in the current year periods and the impact of inventory charges during the prior year periods. The positive impact of foreign currency also contributed to the increase during the three months ended December 30, 2017 while the Whole Blood filter recall incurred during the prior period contributed to the increase during the nine months ended December 30, 2017. These increases were partially offset by manufacturing challenges and the impact of the divestiture of SEBRA during the nine months ended December 30, 2017.</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continue to incur costs associated with inventory purchases from alternate sources as a result of delays in the expansion of our liquid solutions production capacity. We expect purchases from these alternate sources to continue until we can complete the expansion and produce solutions at the necessary level. Gross profit margin continues to be impacted by the inefficiency of underutilized productive capacity. We continue to seek opportunities to rationalize our manufacturing network.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Three Months Ended</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Nine Months Ended</w:t>
            </w:r>
          </w:p>
        </w:tc>
        <w:tc>
          <w:tcPr>
            <w:tcW w:w="1340" w:type="dxa"/>
            <w:vAlign w:val="bottom"/>
            <w:tcBorders>
              <w:bottom w:val="single" w:sz="8" w:color="auto"/>
            </w:tcBorders>
          </w:tcPr>
          <w:p>
            <w:pPr>
              <w:spacing w:after="0"/>
              <w:rPr>
                <w:sz w:val="16"/>
                <w:szCs w:val="16"/>
                <w:color w:val="auto"/>
              </w:rPr>
            </w:pPr>
          </w:p>
        </w:tc>
      </w:tr>
      <w:tr>
        <w:trPr>
          <w:trHeight w:val="152"/>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340" w:type="dxa"/>
            <w:vAlign w:val="bottom"/>
          </w:tcPr>
          <w:p>
            <w:pPr>
              <w:jc w:val="right"/>
              <w:ind w:right="217"/>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30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6"/>
                <w:szCs w:val="16"/>
                <w:color w:val="auto"/>
              </w:rPr>
            </w:pP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340" w:type="dxa"/>
            <w:vAlign w:val="bottom"/>
          </w:tcPr>
          <w:p>
            <w:pPr>
              <w:jc w:val="right"/>
              <w:ind w:right="257"/>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30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8,462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97,855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71,405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237,499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230,023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110,282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79,867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265,640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258,258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Research and development expenses increased 46.9% for the three months ended December 30, 2017 and decreased 0.3% for the nine months ended December 30, 2017, as compared to the same periods of fiscal 2017. Without the effect of foreign exchange, research and development expenses increased 47.8% and 0.9% for the three and nine months ended December 30, 2017, as compared to the same periods of fiscal 2017. The increase during three months ended December 30, 2017 was primarily driven by higher restructuring and turnaround costs associated with the 2018 Program and our continued investment of resources in clinical programs primarily for our Hemostasis Management business unit. During the nine months ended December 30, 2017, these increased costs were offset by reduced spending on certain software projects and several projects in our Blood Center business unit to better align with our long-term product plans.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Selling, general and administrative expenses increased 37.0% and 3.3% for the three and nine months ended December 30, 2017, as compared to the same periods of fiscal 2017. Without the effect of foreign exchange, selling, general, and administrative expenses increased 34.7% and 3.3% for the three and nine months ended December 30, 2017, as compared to the same periods of fiscal 2017. The increase for the three and nine months ended December 30, 2017 was primarily the result of higher restructuring and turnaround costs associated with the 2018 Program and an increase in variable compensation expense. This increase was partially offset by annualized savings as a result of the prior year restructuring initiative.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13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Interest expense from our term loan borrowings, which constitutes the majority of expense, decreased during the three and nine months ended December 30, 2017 as compared to the prior year period due to principal payments on our term loan and a reduction in our borrowings on our revolving credit line. The effective interest rate on total debt outstanding as of December 30, 2017 was 2.6%.</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conduct business globally and report our results of operations in a number of foreign jurisdictions in addition to the United States. Our reported tax rate has been generally lower than the U.S. federal statutory rate as the income tax rates in the foreign jurisdictions in which we operate are generally lower than the U.S. statutory tax rate. Our reported tax rate for the three and nine months ended December 30, 2017 is higher than the statutory tax rate primarily as a result of net discrete expense recorded in connection with U.S. tax reform, as discussed below.</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three months ended December 30, 2017 and December 31, 2016, we reported an income tax provision of $6.8 million and $3.5 million, respectively. For the nine months ended December 30, 2017 and December 31, 2016, we reported an income tax provision of $12.6 million and $6.8 million, respectively. The change in our tax provision for both the three and nine months ended December 30, 2017 was primarily the result of U.S. tax reform, as discussed below, as well as changes in the jurisdictional mix of earnings and other foreign items. Our tax provision for nine months ended December 31, 2016 was impacted by a non-recurring discrete tax expense of $1.4 million related to a workforce reduction during the first quarter of fiscal 2017 in a foreign subsidiary where we were required to maintain certain levels of headcount for a multi-year period, which resulted in the establishment of a tax reserve.</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third quarter of fiscal 2018, the Tax Cuts and Jobs Act was enacted in the United States. The Act reduces the U.S. federal corporate tax rate from 35% to 21%, requires companies to pay a one-time transition tax on earnings of certain foreign subsidiaries that were previously tax deferred and creates new taxes on certain foreign sourced earnings. As of December 30, 2017, we had not completed our accounting for the tax effects of enactment of the Act, however, we were able to make a reasonable estimate of the effects on our existing deferred tax balances and the one-time transition tax. During the three and nine months ended December 30, 2017, we recognized a provisional amount of $5.4 million, which is included as a component of income tax expense in our consolidated statements of (loss) income. The $5.4 million is comprised of an increase to tax expense of $12.3 million for the net transition tax to be paid over eight years, partially offset by $6.9 million of additional benefits from the re-measurement of deferred tax assets.</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 result of the Act, we re-measured certain deferred tax assets and liabilities based on the rates at which they are anticipated to reverse in the future, which is generally 21%. In addition, certain of our deferred tax assets against which we had previously maintained a valuation allowance became more-likely-than-not realizable as a result of the source of income associated with the transition tax and changes in the tax law which resulted in net operating losses generated in future periods having an indefinite carryforward period (as we have existing indefinite lived deferred tax liabilities which can serve as a source of income for indefinite lived deferred tax assets). The provisional benefit amount recorded related to the re-measurement of our deferred tax balance prior to the release of the valuation allowance on attributes utilized to offset the transition tax during the three and nine months ended December 30, 2017 was $6.9 million.</w:t>
      </w:r>
    </w:p>
    <w:p>
      <w:pPr>
        <w:spacing w:after="0" w:line="165" w:lineRule="exact"/>
        <w:rPr>
          <w:sz w:val="20"/>
          <w:szCs w:val="20"/>
          <w:color w:val="auto"/>
        </w:rPr>
      </w:pPr>
    </w:p>
    <w:p>
      <w:pPr>
        <w:ind w:left="40" w:right="80"/>
        <w:spacing w:after="0" w:line="276" w:lineRule="auto"/>
        <w:rPr>
          <w:sz w:val="20"/>
          <w:szCs w:val="20"/>
          <w:color w:val="auto"/>
        </w:rPr>
      </w:pPr>
      <w:r>
        <w:rPr>
          <w:rFonts w:ascii="Arial" w:cs="Arial" w:eastAsia="Arial" w:hAnsi="Arial"/>
          <w:sz w:val="17"/>
          <w:szCs w:val="17"/>
          <w:color w:val="auto"/>
        </w:rPr>
        <w:t>The one-time transition tax associated with the Act is based on our total post-1986 earnings and profits ("E&amp;P") for which we have previously deferred from U.S. federal taxation. During the three and nine months ended December 30, 2017, we recorded a provisional amount for our one-time transition tax liability of $22.7 million for our foreign subsidiaries, resulting in an increase to income tax expense. The income tax expense increase was partially offset by the release of a valuation allowance of $10.4 million on tax attributes to offset the transition tax, resulting in a net provisional expense after utilization of foreign tax credits of $12.3 million during the three and nine months ended December 30, 2017.</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in a three year cumulative loss position in the U.S. and, accordingly, maintain a valuation allowance against our U.S. deferred tax assets. Additionally, we also maintain a valuation allowance against certain other deferred tax assets primarily in Switzerland, Puerto Rico, Luxembourg and France which we have concluded are not more-likely-than-not realizable.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30,</w:t>
            </w:r>
          </w:p>
        </w:tc>
        <w:tc>
          <w:tcPr>
            <w:tcW w:w="320" w:type="dxa"/>
            <w:vAlign w:val="bottom"/>
          </w:tcPr>
          <w:p>
            <w:pPr>
              <w:spacing w:after="0"/>
              <w:rPr>
                <w:sz w:val="14"/>
                <w:szCs w:val="14"/>
                <w:color w:val="auto"/>
              </w:rPr>
            </w:pPr>
          </w:p>
        </w:tc>
        <w:tc>
          <w:tcPr>
            <w:tcW w:w="1280" w:type="dxa"/>
            <w:vAlign w:val="bottom"/>
          </w:tcPr>
          <w:p>
            <w:pPr>
              <w:jc w:val="right"/>
              <w:ind w:right="494"/>
              <w:spacing w:after="0"/>
              <w:rPr>
                <w:sz w:val="20"/>
                <w:szCs w:val="20"/>
                <w:color w:val="auto"/>
              </w:rPr>
            </w:pPr>
            <w:r>
              <w:rPr>
                <w:rFonts w:ascii="Arial" w:cs="Arial" w:eastAsia="Arial" w:hAnsi="Arial"/>
                <w:sz w:val="14"/>
                <w:szCs w:val="14"/>
                <w:b w:val="1"/>
                <w:bCs w:val="1"/>
                <w:color w:val="auto"/>
              </w:rPr>
              <w:t>April 1,</w:t>
            </w:r>
          </w:p>
        </w:tc>
      </w:t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251,591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139,564</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265,535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298,850</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r>
      <w:tr>
        <w:trPr>
          <w:trHeight w:val="270"/>
        </w:trPr>
        <w:tc>
          <w:tcPr>
            <w:tcW w:w="81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Net debt</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(18,576)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(175,083)</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4.2</w:t>
            </w:r>
          </w:p>
        </w:tc>
      </w:tr>
      <w:tr>
        <w:trPr>
          <w:trHeight w:val="341"/>
        </w:trPr>
        <w:tc>
          <w:tcPr>
            <w:tcW w:w="810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Net debt position is the sum of cash and cash equivalents less total debt.</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November 1, 2017, we launched the 2018 Program. Under this restructuring initiative, we expect to incur aggregate charges between $50 million and $60 million, of which we expect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During both the three and nine months ended December 30, 2017, we incurred $31.7 million of restructuring and turnaround costs under this program.</w:t>
      </w:r>
    </w:p>
    <w:p>
      <w:pPr>
        <w:spacing w:after="0" w:line="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fiscal 2017, we launched the 2017 Program, a restructuring initiative designed to reposition our organization and improve our cost structure. During the nine months ended December 30, 2017, we incurred $7.7 million of restructuring and turnaround costs under this program. There were no charges recorded during the three months ended December 30, 2017 under this program. As of December 30, 2017, charges associated with the 2017 Program were substantially complete.</w:t>
      </w:r>
    </w:p>
    <w:p>
      <w:pPr>
        <w:spacing w:after="0" w:line="9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primary sources of liquidity are cash and cash equivalents, internally generated cash flow from operations and proceeds from employee stock option exercises. Although cash flow from operations could be negatively impacted by continued declines in our Blood Center business, we believe these sources are sufficient to fund our cash requirements over at least the next twelve months. Our expected cash outlays relate primarily to investments, capital expenditures, including the NexSys PCS, cash payments under the loan agreement, restructuring and turnaround initiatives and other acquisitions.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3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December 30, 2017, we had $251.6 million in cash and cash equivalents, substantially all of which is held in the U.S. or in countries from which it can be freely repatriated to the U.S. We currently have a credit agreement ("Credit Agreement") with certain lenders (together, “Lenders”) which provides for a $475.0 million term loan ("Term Loan") and a $100.0 million revolving loan ("Revolving Credit Facility" and together with the Term Loan, the "Credit Facilities"). Interest is based on the Adjusted LIBOR plus a range of 1.125% to 1.500% depending on achievement of leverage ratios and customary credit terms which include financial and negative covenants. The Credit Facilities mature on July 1, 2019. At December 30, 2017, $270.3 million was outstanding under the Term Loan and no amount was outstanding on the Revolving Credit Facility. We also have $46.4 million of uncommitted operating lines of credit to fund our global operations under which there are no outstanding borrowings as of December 30, 2017.</w:t>
      </w:r>
    </w:p>
    <w:p>
      <w:pPr>
        <w:spacing w:after="0" w:line="8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three and nine months ended December 30, 2017, we paid $16.6 million and $45.1 million, respectively, in scheduled principal repayments for the Term Loan. We have scheduled principal payments of $16.6 million required during the remainder of fiscal 2018. We were in compliance with the leverage and interest coverage ratios specified in the Credit Agreement as well as all other bank covenants as of December 30, 2017.</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52"/>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4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162,723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125,161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37,562</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13,675</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(49,964)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41,974</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2,363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4,300</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112,027</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14,516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 w:right="220"/>
        <w:spacing w:after="0" w:line="27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balance sheet is affected by spot exchange rates used to translate local currency amounts into U.S. Dollars. In accordance with U.S. GAAP, we have removed the effect of foreign currency</w:t>
      </w:r>
      <w:r>
        <w:rPr>
          <w:rFonts w:ascii="Arial" w:cs="Arial" w:eastAsia="Arial" w:hAnsi="Arial"/>
          <w:sz w:val="9"/>
          <w:szCs w:val="9"/>
          <w:color w:val="auto"/>
        </w:rPr>
        <w:t xml:space="preserve"> </w:t>
      </w:r>
      <w:r>
        <w:rPr>
          <w:rFonts w:ascii="Arial" w:cs="Arial" w:eastAsia="Arial" w:hAnsi="Arial"/>
          <w:sz w:val="14"/>
          <w:szCs w:val="14"/>
          <w:color w:val="auto"/>
        </w:rPr>
        <w:t>throughout our cash flow statement, except for its effect on our cash and cash equivalents.</w:t>
      </w:r>
    </w:p>
    <w:p>
      <w:pPr>
        <w:spacing w:after="0" w:line="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Net cash provided by operating activities increased by $37.6 million during the nine months ended December 30, 2017, as compared to the nine months ended December 31, 2016. The increase in cash provided by operating activities was primarily due to a working capital inflow resulting from an increase in accrued restructuring and turnaround reserves associated with the 2018 Program, a decrease in inventories and, to a lesser extent, a decrease in accounts receivable. The decrease in inventories was due to an inventory build of our PCS2 devices in the prior year period and the placement of those devices in fiscal 2018, as well as, the strategic management of inventory levels for this platform of devices in fiscal 2018 in anticipation of the launch of the new devices. Net income, as adjusted for depreciation and amortization, also contributed to the increase in cash provided by operating activities.</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investing activities decreased by $13.7 million during the nine months ended December 30, 2017, as compared to the nine months ended December 31, 2016. The decrease in cash used in investing activities was primarily the result of the proceeds received related to the divestiture of our SEBRA product line and a reduction in capital expenditures due to the timing of spend, which we expect will occur in during the fourth quarter of fiscal 2018 and during fiscal 2019.</w:t>
      </w:r>
    </w:p>
    <w:p>
      <w:pPr>
        <w:spacing w:after="0" w:line="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cash used in financing activities decreased by $42.0 million during the nine months ended December 30, 2017, as compared to the nine months ended December 31, 2016, primarily due to a reduction in borrowings on our Revolving Credit Facility of $40.0 million in the prior period and higher proceeds received from the exercise of stock options during the current period. This decrease was partially offset by an increase in principal repayments on our Term Loan during the nine months ended December 30, 2017 as compared to the prior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3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February 6, 2018, we announced that our Board of Directors authorized the repurchase of up to $260 million of our outstanding common stock through March 30, 2019. Under the stock repurchase program, the Company is authorized to repurchase, from time to time, outstanding shares of common stock in accordance with applicable laws both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stock repurchase program may be suspended, modified or discontinued at any time, and the Company has no obligation to repurchase any amount of its common stock under the program.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3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3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the three and nine months ended December 30, 2017, approximately 39.8% and 38.7%,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7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(Topic 606)</w:t>
      </w:r>
    </w:p>
    <w:p>
      <w:pPr>
        <w:spacing w:after="0" w:line="1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No. 2014-09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No. 2014-09 will be effective for annual reporting periods beginning after December 15, 2017, including interim periods within those reporting periods. Early adoption is permitted for annual reporting periods beginning after December 15, 2016, including interim reporting periods within that reporting period.</w:t>
      </w:r>
    </w:p>
    <w:p>
      <w:pPr>
        <w:spacing w:after="0" w:line="9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March 2016, the FASB issued ASU No. 2016-08, Revenue from Contracts with Customers (Topic 606): </w:t>
      </w:r>
      <w:r>
        <w:rPr>
          <w:rFonts w:ascii="Arial" w:cs="Arial" w:eastAsia="Arial" w:hAnsi="Arial"/>
          <w:sz w:val="17"/>
          <w:szCs w:val="17"/>
          <w:i w:val="1"/>
          <w:iCs w:val="1"/>
          <w:color w:val="auto"/>
        </w:rPr>
        <w:t>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Gross versus Net)</w:t>
      </w:r>
      <w:r>
        <w:rPr>
          <w:rFonts w:ascii="Arial" w:cs="Arial" w:eastAsia="Arial" w:hAnsi="Arial"/>
          <w:sz w:val="17"/>
          <w:szCs w:val="17"/>
          <w:color w:val="auto"/>
        </w:rPr>
        <w:t>. The purpose of ASU No. 2016-08 is to clarify the guidance on principal versus agent considerations. It includes indicators that</w:t>
      </w:r>
      <w:r>
        <w:rPr>
          <w:rFonts w:ascii="Arial" w:cs="Arial" w:eastAsia="Arial" w:hAnsi="Arial"/>
          <w:sz w:val="17"/>
          <w:szCs w:val="17"/>
          <w:i w:val="1"/>
          <w:iCs w:val="1"/>
          <w:color w:val="auto"/>
        </w:rPr>
        <w:t xml:space="preserve"> </w:t>
      </w:r>
      <w:r>
        <w:rPr>
          <w:rFonts w:ascii="Arial" w:cs="Arial" w:eastAsia="Arial" w:hAnsi="Arial"/>
          <w:sz w:val="17"/>
          <w:szCs w:val="17"/>
          <w:color w:val="auto"/>
        </w:rPr>
        <w:t>help to determine whether an entity controls the specified good or service before it is transferred to the customer and to assist in determining when the entity satisfied the performance obligation and as such, whether to recognize a gross or a net amount of consideration in their consolidated statement of operations. The effective date and transition requirements are consistent with ASU No. 2014-09.</w:t>
      </w:r>
    </w:p>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April 2016, the FASB issued ASU No. 2016-10, Revenue from Contracts with Customers (Topic 606): </w:t>
      </w:r>
      <w:r>
        <w:rPr>
          <w:rFonts w:ascii="Arial" w:cs="Arial" w:eastAsia="Arial" w:hAnsi="Arial"/>
          <w:sz w:val="18"/>
          <w:szCs w:val="18"/>
          <w:i w:val="1"/>
          <w:iCs w:val="1"/>
          <w:color w:val="auto"/>
        </w:rPr>
        <w:t>Identifying Performance Obligations and Licensing</w:t>
      </w:r>
      <w:r>
        <w:rPr>
          <w:rFonts w:ascii="Arial" w:cs="Arial" w:eastAsia="Arial" w:hAnsi="Arial"/>
          <w:sz w:val="18"/>
          <w:szCs w:val="18"/>
          <w:color w:val="auto"/>
        </w:rPr>
        <w:t>. The guidance clarifies that entities are not required to assess whether promised goods or services are performance obligations if they are immaterial in the context of the contract. ASU No. 2016-10 also addresses how to determine whether promised goods or services are separately identifiable and permits entities to make a policy election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 treat shipping and handling costs as fulfillment activities. In addition, it clarifies key provisions in Topic 606 related to licensing. The effective date and transition requirements are consistent with ASU No. 2014-09.</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established a cross-functional implementation team consisting of representatives from all of our business units and regions. During fiscal 2017, we began analyzing the impact of the standard on our contract portfolio by reviewing a representative sample of our contracts to identify potential differences that would result from applying the requirements of the new standard. The implementation team has apprised both management and the audit committee of project status on a recurring basis.</w:t>
      </w:r>
    </w:p>
    <w:p>
      <w:pPr>
        <w:spacing w:after="0" w:line="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will adopt the new standard on April 1, 2018 using the modified retrospective approach. We have not finalized our assessment of the impact of Topic 606, however we believe our recognition of software revenue will be the most impacted. Software revenue accounts for approximately 8.5% of our total revenue. We continue to analyze performance obligations, variable consideration and disclosures. Additionally, we are monitoring updates issued by the FASB. Upon adopting Topic 606, we will provide additional disclosures in the notes to the consolidated financial statements, specifically related to disaggregated revenue, contract balances and performance obligations. In the fourth quarter of fiscal 2018, we will provide global training to our finance team on Topic 606 and perform a simulation of our new accounting processes and procedures to prepare for adoption of Topic 606. We will require new internal controls to address risks associated with applying the five-step model. Additionally, we will establish monitoring controls to identify new contracts and arrangements that could impact our current accounting assessment. During the fourth quarter of fiscal 2018, we expect to substantially complete our impact assessment and initiate efforts to redesign impacted processes, policies and controls.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February 2016, the FASB issued ASU No. 2016-02, Leases (Topic 842). ASU No. 2016-02 is intended to increase the transparency and comparability among organizations by recognizing lease asset and lease liabilities on the balance sheet, including those previously classified as operating leases under current U.S. GAAP, and disclosing key information about leasing arrangements. ASU No. 2016-02 is effective for fiscal years beginning after December 15, 2018, including interim periods within those fiscal years, and is applicable to us in fiscal 2020. Earlier adoption is permitted. The impact of adopting ASU No. 2016-02 on our financial position and results of operations is being assessed by management.</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2016, the FASB issued ASU No. 2016-15, Statement of Cash Flow (Topic 230). The guidance reduces diversity in how certain cash receipts and cash payments are presented and classified in the consolidated statements of cash flows. The guidance is effective for annual periods beginning after December 15, 2017, and is applicable to us in fiscal 2019. Early adoption is permitted. The adoption of ASU 2016-15 is not expected to have a material effect on our consolidated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October 2016, the FASB issued ASU No. 2016-16, Income Taxes (Topic 740). The guidance requires companies to recognize the income tax effects of intercompany sales and transfers of assets, other than inventory, in the income statement as income tax expense (or benefit) in the period in which the transfer occurs. The guidance is effective for annual periods beginning after December 15, 2017, and is applicable to us in fiscal 2019. Early adoption is permitted for all entities as of the beginning of an annual reporting period. The impact of adopting ASU No. 2016-16 on our financial position and results of operations is being assessed by management.</w:t>
      </w:r>
    </w:p>
    <w:p>
      <w:pPr>
        <w:spacing w:after="0" w:line="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March 2017, the FASB issued ASU No. 2017-07, Compensation - Retirement Benefits (Topic 715). The guidance revises the presentation of net periodic pension cost and net periodic post-retirement benefit cost. The guidance is effective for annual periods beginning after December 15, 2018, and is applicable to us in fiscal 2020. Early adoption is permitted for all entities as of the beginning of an annual reporting period. The impact of adopting ASU No. 2017-07 is not expected to have a material effect on our consolidated financial statements.</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May 2017, the FASB issued ASU No. 2017-09, Compensation - Stock Compensation: Scope of Modification Accounting (Topic 718). The guidance clarifies when to account for a change to the terms or conditions of a share-based payment award as a modification. The guidance is effective for annual periods beginning after December 15, 2017, and is applicable to us in fiscal 2019. Early adoption is permitted for all entities as of the beginning of an annual reporting period. The impact of adopting ASU No. 2017-09 is not expected to have a material effect on our consolidated financial statements.</w:t>
      </w:r>
    </w:p>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August 2017, the FASB issued ASU No. 2017-12, Derivatives and Hedging: Targeted Improvements to Accounting for Hedging Activities (Topic 815). The new guidance will make more financial and non-financial hedging strategies eligible for hedge accounting as well as amend the presentation and disclosure requirements and change how companies assess effectiveness. The guidance is effective for annual periods beginning after December 15, 2018, and is applicable to us in fiscal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2020. Early adoption is permitted for all entities as of the beginning of an annual reporting period. The impact of adopting ASU No. 2017-12 on our financial position and results of operations is being assessed by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3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These forward-looking statements, like any forward-looking statements, involve risks and uncertainties that could cause actual results to differ materially from those projected or anticipated. Factors that may influence or contribute to the inaccuracy of the forward-looking statements or cause actual results to differ materially from expected or desired results may include, without limitation, demand for whole blood and blood components, changes in executive management, changes in operations, restructuring and turnaround plans, the impact of the Tax Cuts and Jobs Act, asset revaluations to reflect current business conditions, asset sales, technological advances in the medical field and standards for transfusion medicine and our ability to successfully offer products that incorporate such advances and standards, product quality, market acceptance, regulatory uncertainties, including in the receipt or timing of regulatory approvals,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other risks detailed under Part II, Item 1A. Risk Factors included in this report, if any, as well as those described in our Annual Report on Form 10-K for the fiscal year ended April 1, 2017. The foregoing list should not be construed as exhaustive.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3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$3.3 million increase in the fair value of the forward contracts; whereas a 10% weakening of the U.S. Dollar would result in a $3.2 million decrease of the fair value of the forward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exposure to changes in interest rates is associated with borrowings on our Credit Agreement, all of which is variable rate debt. Total outstanding debt under our Credit Facilities as December 30, 2017 was $270.3 million with an interest rate of 2.6% based on prevailing LIBOR rates. An increase of 100 basis points in LIBOR rates would result in additional annual interest expense of $2.7 million. On December 21, 2012, we entered into interest rate swap agreements to effectively convert $250.0 million of borrowings from a variable rate to a fixed rate. The interest rate swaps matured on August 1, 2017.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conducted an evaluation, as of December 30, 2017,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Because the material weakness in our internal control over financial reporting for inventory that existed as of April 1, 2017 has not yet been fully remediated, the Chief Executive Officer and Chief Financial Officer concluded that our disclosure controls and procedures were not effective as of December 30, 2017.</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advised our audit committee of this deficiency in our internal control over financial reporting, and the fact that this deficiency constitutes a material weakness. A material weakness in internal control over financial reporting is a deficiency, or a combination of deficiencies, in internal control over financial reporting, such that there is a reasonable possibility that a material misstatement of our annual or interim financial statements will not be prevented or detected on a timely basis by our internal controls.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a material weakness was determined to exist, we performed additional procedures to ensure our consolidated financial statements included in this quarterly report on Form 10-Q are presented fairly, in all material respects, our financial position, results of operations and cash flows for the periods presented in conformity with accounting principles generally accepted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have undertaken steps to strengthen our controls over accounting for inventory, including:</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oversight by our management in the calculation and reporting of certain inventory balances;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Enhancing policies and procedures relating to account reconciliation and analysis;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Strengthening communication and information flows between the inventory operations department and the corporate controller's group.</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we continue to evaluate and work to improve our internal control over financial reporting, management may determine that it is necessary to take additional measures to address control deficiencies or may determine that it is necessary to modify the remediation plan described below. The operation of the control change will need to be observed for a period of time before management is able to conclude that the material weakness has been remediated. If not remediated, this material weakness could result in a material misstatement to our consolidated financial statements. Management continues to monitor implementation of its remediation plan and timetable and believes the efforts described below will effectively remediate the material weaknesses.</w:t>
      </w:r>
    </w:p>
    <w:p>
      <w:pPr>
        <w:spacing w:after="0" w:line="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as such term is defined in Exchange Act Rules 13a-15(f) and 15d-a5(f). The Company’s internal control system was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Except as noted in the preceding paragraphs, there has not been any change in our system of internal control over financial reporting during the quarter ended December 30, 2017 that has materially affected, or is reasonably likely to materially affect, internal control over financial reporting.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Consolidated Financial Statements in this Quarterly Report on Form 10-Q,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Except as set forth below and in “Part II, Item 1A. Risk Factors” of our Quarterly Report on Form 10-Q for the quarter ended September 30, 2017, there are no material changes from the Risk Factors previously disclosed in our Annual Report on Form 10-K for the year ended April 1, 2017.</w:t>
      </w:r>
    </w:p>
    <w:p>
      <w:pPr>
        <w:spacing w:after="0" w:line="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stock repurchase program could affect the price of our common stock and increase volatility and may be suspended or terminated at any time, which may result in a decrease in the trading price of our common stock.</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February 6, 2018, we announced that our Board of Directors authorized the repurchase of up to $260 million of our outstanding common stock through March 30, 2019. Under the stock repurchase program, the Company is authorized to repurchase, from time to time, outstanding shares of common stock in accordance with applicable laws both on the open market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stock repurchase program may be suspended, modified or discontinued at any time, and the Company has no obligation to repurchase any amount of its common stock under the program. Repurchases pursuant to our stock repurchase program could affect our stock price and increase its volatility. The existence of a stock repurchase program could also cause our stock price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shares of common stock. Although our stock repurchase program is intended to enhance long-term stockholder value, short-term stock price fluctuations could reduce the program’s effectiveness.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has an Employee Stock Purchase Plan (the “Purchase Plan”) under which a maximum of 3,200,000 shares (subject to adjustment for stock splits and similar changes) of common stock may be purchased by eligible employees. Substantially all of our full-time employees are eligible to participate in the Purchase Plan.</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previously filed a registration statement on Form S-8 covering the offering of up to 1,400,000 shares of our common stock pursuant to the Purchase Plan. In January 2018, the Company discovered that it inadvertently failed to register on Form S-8 the remaining 1,800,000 shares of common stock available under the Purchase Plan, which our shareholders had authorized for issuance under the Purchase Plan in July 2016. As a result, 45,661 shares have been issued to eligible employees under the Purchase Plan that were not registered on Form S-8. Specifically, the Company on April 30, 2017 sold 470 shares to eligible employees at a price of $28.18 per share and on October 31, 2017 sold 45,191 shares to eligible employees at a price of $36.32 per share, for an aggregate purchase price of approximately $1.7 million. No commissions or other fees were paid in connection with the sales of these shares. The proceeds of these sales were used for general working capital purposes.</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has determined that the offer and sale of these shares were not exempt from registration under the Securities Act, and on February 5, 2018 the Company filed a Form S-8 with the Commission to register the 1,800,000 additional shares of common stock issuable under the Purchase Plan. Nonetheless, the Company may be subject to civil and other penalties by regulatory authorities as a result of the failure to register, and the previously outstanding unregistered shares may be subject to rescission rights equal to the purchase price paid for such shares plus interest from the date of purchase. Based on the Company’s current stock price, we do not expect that shareholders will exercise such rescission rights and, if such rescission rights were exercised, we do not believe that any liability for such rescission would be material to our consolidated financial position,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72"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[Removed and Reserved]</w:t>
      </w:r>
    </w:p>
    <w:p>
      <w:pPr>
        <w:spacing w:after="0" w:line="25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580"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00" w:lineRule="exact"/>
        <w:rPr>
          <w:sz w:val="20"/>
          <w:szCs w:val="20"/>
          <w:color w:val="auto"/>
        </w:rPr>
      </w:pPr>
    </w:p>
    <w:p>
      <w:pPr>
        <w:spacing w:after="0" w:line="272" w:lineRule="exact"/>
        <w:rPr>
          <w:sz w:val="20"/>
          <w:szCs w:val="20"/>
          <w:color w:val="auto"/>
        </w:rPr>
      </w:pPr>
    </w:p>
    <w:p>
      <w:pPr>
        <w:ind w:left="840" w:right="560" w:hanging="796"/>
        <w:spacing w:after="0" w:line="277" w:lineRule="auto"/>
        <w:tabs>
          <w:tab w:leader="none" w:pos="820" w:val="left"/>
        </w:tabs>
        <w:rPr>
          <w:rFonts w:ascii="Arial" w:cs="Arial" w:eastAsia="Arial" w:hAnsi="Arial"/>
          <w:sz w:val="18"/>
          <w:szCs w:val="18"/>
          <w:color w:val="0000FF"/>
        </w:rPr>
      </w:pPr>
      <w:hyperlink w:anchor="page37">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Section 302 of Sarbanes-Oxley Act of 2002, of Christopher Simon, President and Chief Executive Officer of the Company</w:t>
      </w:r>
    </w:p>
    <w:p>
      <w:pPr>
        <w:spacing w:after="0" w:line="279" w:lineRule="exact"/>
        <w:rPr>
          <w:sz w:val="20"/>
          <w:szCs w:val="20"/>
          <w:color w:val="auto"/>
        </w:rPr>
      </w:pPr>
    </w:p>
    <w:p>
      <w:pPr>
        <w:ind w:left="840" w:right="340" w:hanging="796"/>
        <w:spacing w:after="0" w:line="277" w:lineRule="auto"/>
        <w:tabs>
          <w:tab w:leader="none" w:pos="820" w:val="left"/>
        </w:tabs>
        <w:rPr>
          <w:rFonts w:ascii="Arial" w:cs="Arial" w:eastAsia="Arial" w:hAnsi="Arial"/>
          <w:sz w:val="18"/>
          <w:szCs w:val="18"/>
          <w:color w:val="0000FF"/>
        </w:rPr>
      </w:pPr>
      <w:hyperlink w:anchor="page38">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Section 302 of Sarbanes-Oxley of 2002, of William Burke, Executive Vice President, Chief Financial Officer of the Company</w:t>
      </w:r>
    </w:p>
    <w:p>
      <w:pPr>
        <w:spacing w:after="0" w:line="279" w:lineRule="exact"/>
        <w:rPr>
          <w:sz w:val="20"/>
          <w:szCs w:val="20"/>
          <w:color w:val="auto"/>
        </w:rPr>
      </w:pPr>
    </w:p>
    <w:p>
      <w:pPr>
        <w:ind w:left="840" w:right="640" w:hanging="796"/>
        <w:spacing w:after="0" w:line="277" w:lineRule="auto"/>
        <w:tabs>
          <w:tab w:leader="none" w:pos="820" w:val="left"/>
        </w:tabs>
        <w:rPr>
          <w:rFonts w:ascii="Arial" w:cs="Arial" w:eastAsia="Arial" w:hAnsi="Arial"/>
          <w:sz w:val="18"/>
          <w:szCs w:val="18"/>
          <w:color w:val="0000FF"/>
        </w:rPr>
      </w:pPr>
      <w:hyperlink w:anchor="page39">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United States Code Section 1350, as adopted Pursuant to Section 906 of the Sarbanes-Oxley Act of 2002, of Christopher Simon, President and Chief Executive Officer of the Company</w:t>
      </w:r>
    </w:p>
    <w:p>
      <w:pPr>
        <w:spacing w:after="0" w:line="279" w:lineRule="exact"/>
        <w:rPr>
          <w:sz w:val="20"/>
          <w:szCs w:val="20"/>
          <w:color w:val="auto"/>
        </w:rPr>
      </w:pPr>
    </w:p>
    <w:p>
      <w:pPr>
        <w:ind w:left="840" w:hanging="796"/>
        <w:spacing w:after="0" w:line="277" w:lineRule="auto"/>
        <w:tabs>
          <w:tab w:leader="none" w:pos="820" w:val="left"/>
        </w:tabs>
        <w:rPr>
          <w:rFonts w:ascii="Arial" w:cs="Arial" w:eastAsia="Arial" w:hAnsi="Arial"/>
          <w:sz w:val="18"/>
          <w:szCs w:val="18"/>
          <w:color w:val="0000FF"/>
        </w:rPr>
      </w:pPr>
      <w:hyperlink w:anchor="page40">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United States Code Section 1350, as adopted Pursuant to Section 906 of the Sarbanes-Oxley Act of 2002, of William Burke, Executive Vice President, Chief Financial Officer of the Company</w:t>
      </w:r>
    </w:p>
    <w:p>
      <w:pPr>
        <w:spacing w:after="0" w:line="306" w:lineRule="exact"/>
        <w:rPr>
          <w:sz w:val="20"/>
          <w:szCs w:val="20"/>
          <w:color w:val="auto"/>
        </w:rPr>
      </w:pPr>
    </w:p>
    <w:p>
      <w:pPr>
        <w:ind w:left="840" w:right="420" w:hanging="799"/>
        <w:spacing w:after="0" w:line="276" w:lineRule="auto"/>
        <w:tabs>
          <w:tab w:leader="none" w:pos="8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The following materials from Haemonetics Corporation on Form 10-Q for the quarter ended December 30, 2017, formatted in Extensible Business Reporting Language (XBRL); (i) Consolidated Statements of (Loss) Income and Comprehensive (Loss) Income, (ii) Consolidated Balance Sheets, (iii) Consolidated Statements of Cash Flows, and (iv)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hanging="685"/>
        <w:spacing w:after="0" w:line="26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240" w:top="364" w:right="359" w:bottom="1440" w:gutter="0" w:footer="0" w:header="0"/>
        </w:sectPr>
      </w:pPr>
    </w:p>
    <w:bookmarkStart w:id="35" w:name="page36"/>
    <w:bookmarkEnd w:id="35"/>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2/6/2018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Christopher Simon,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2/6/2018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William Burke, Executive Vice President, Chief Financial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80"/>
          </w:cols>
          <w:pgMar w:left="240" w:top="364" w:right="3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Simon, certify that:</w:t>
      </w:r>
    </w:p>
    <w:p>
      <w:pPr>
        <w:spacing w:after="0" w:line="11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2/6/2018</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Simon,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2/6/2018</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30, 2017 as filed with the Securities and Exchange Commission on the date hereof (the “Report”), I, Christopher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2/6/2018</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30, 2017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2/6/2018</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Burke,</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2019-12-29T01:48:55Z</dcterms:created>
  <dcterms:modified xsi:type="dcterms:W3CDTF">2019-12-29T01:48:55Z</dcterms:modified>
</cp:coreProperties>
</file>