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quarterly period ended: July 1, 2023</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001-14041 </w:t>
      </w:r>
    </w:p>
    <w:p>
      <w:pPr>
        <w:pStyle w:val="TextBody"/>
        <w:bidi w:val="0"/>
        <w:spacing w:lineRule="auto" w:line="288" w:before="320" w:after="283"/>
        <w:jc w:val="center"/>
        <w:rPr>
          <w:rFonts w:ascii="Times New Roman;sans-serif" w:hAnsi="Times New Roman;sans-serif"/>
          <w:b/>
          <w:color w:val="000000"/>
          <w:sz w:val="48"/>
        </w:rPr>
      </w:pPr>
      <w:r>
        <w:rPr>
          <w:rFonts w:ascii="Times New Roman;sans-serif" w:hAnsi="Times New Roman;sans-serif"/>
          <w:b/>
          <w:color w:val="000000"/>
          <w:sz w:val="48"/>
        </w:rPr>
        <w:t>HAEMONETICS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274" w:type="dxa"/>
        <w:jc w:val="center"/>
        <w:tblInd w:w="0" w:type="dxa"/>
        <w:tblLayout w:type="fixed"/>
        <w:tblCellMar>
          <w:top w:w="28" w:type="dxa"/>
          <w:left w:w="28" w:type="dxa"/>
          <w:bottom w:w="28" w:type="dxa"/>
          <w:right w:w="28" w:type="dxa"/>
        </w:tblCellMar>
      </w:tblPr>
      <w:tblGrid>
        <w:gridCol w:w="599"/>
        <w:gridCol w:w="528"/>
        <w:gridCol w:w="528"/>
        <w:gridCol w:w="545"/>
        <w:gridCol w:w="545"/>
        <w:gridCol w:w="553"/>
        <w:gridCol w:w="109"/>
        <w:gridCol w:w="109"/>
        <w:gridCol w:w="109"/>
        <w:gridCol w:w="481"/>
        <w:gridCol w:w="481"/>
        <w:gridCol w:w="687"/>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04-2882273</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125 Summer Street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Boston,</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02110</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(781) 848-7100 </w:t>
      </w:r>
    </w:p>
    <w:p>
      <w:pPr>
        <w:pStyle w:val="TextBody"/>
        <w:bidi w:val="0"/>
        <w:spacing w:lineRule="auto" w:line="288" w:before="0" w:after="0"/>
        <w:jc w:val="center"/>
        <w:rPr/>
      </w:pPr>
      <w:r>
        <w:rPr>
          <w:rFonts w:ascii="Times New Roman;sans-serif" w:hAnsi="Times New Roman;sans-serif"/>
          <w:b w:val="false"/>
          <w:color w:val="000000"/>
          <w:sz w:val="18"/>
        </w:rPr>
        <w:t>(Registrant’s telephone number, including area code)</w:t>
      </w:r>
      <w:r>
        <w:rPr>
          <w:color w:val="000000"/>
        </w:rPr>
        <w:t xml:space="preserve">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752" w:type="dxa"/>
        <w:jc w:val="center"/>
        <w:tblInd w:w="0" w:type="dxa"/>
        <w:tblLayout w:type="fixed"/>
        <w:tblCellMar>
          <w:top w:w="28" w:type="dxa"/>
          <w:left w:w="28" w:type="dxa"/>
          <w:bottom w:w="28" w:type="dxa"/>
          <w:right w:w="28" w:type="dxa"/>
        </w:tblCellMar>
      </w:tblPr>
      <w:tblGrid>
        <w:gridCol w:w="1212"/>
        <w:gridCol w:w="1070"/>
        <w:gridCol w:w="1077"/>
        <w:gridCol w:w="109"/>
        <w:gridCol w:w="109"/>
        <w:gridCol w:w="109"/>
        <w:gridCol w:w="424"/>
        <w:gridCol w:w="424"/>
        <w:gridCol w:w="426"/>
        <w:gridCol w:w="109"/>
        <w:gridCol w:w="109"/>
        <w:gridCol w:w="109"/>
        <w:gridCol w:w="1014"/>
        <w:gridCol w:w="1014"/>
        <w:gridCol w:w="1437"/>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ind w:left="0" w:right="0" w:firstLine="72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8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80" w:after="283"/>
        <w:jc w:val="center"/>
        <w:rPr/>
      </w:pPr>
      <w:r>
        <w:rPr>
          <w:rFonts w:ascii="Times New Roman;sans-serif" w:hAnsi="Times New Roman;sans-serif"/>
          <w:b w:val="false"/>
          <w:color w:val="000000"/>
          <w:sz w:val="20"/>
        </w:rPr>
        <w:t>The number of shares of $0.01 par value common stock outsta</w:t>
      </w:r>
      <w:r>
        <w:rPr>
          <w:rFonts w:ascii="Times New Roman;sans-serif" w:hAnsi="Times New Roman;sans-serif"/>
          <w:b w:val="false"/>
          <w:color w:val="000000"/>
          <w:sz w:val="20"/>
          <w:shd w:fill="FFFFFF" w:val="clear"/>
        </w:rPr>
        <w:t xml:space="preserve">nding as of August 4, 2023: </w:t>
      </w:r>
      <w:r>
        <w:rPr>
          <w:rFonts w:ascii="Times New Roman;sans-serif" w:hAnsi="Times New Roman;sans-serif"/>
          <w:b w:val="false"/>
          <w:color w:val="000000"/>
          <w:sz w:val="20"/>
        </w:rPr>
        <w:t>50,712,010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472"/>
        <w:gridCol w:w="3050"/>
        <w:gridCol w:w="3065"/>
        <w:gridCol w:w="180"/>
        <w:gridCol w:w="180"/>
        <w:gridCol w:w="258"/>
      </w:tblGrid>
      <w:tr>
        <w:trPr/>
        <w:tc>
          <w:tcPr>
            <w:tcW w:w="3472"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0">
              <w:r>
                <w:rPr>
                  <w:rStyle w:val="InternetLink"/>
                  <w:rFonts w:ascii="Times New Roman;sans-serif" w:hAnsi="Times New Roman;sans-serif"/>
                  <w:b/>
                  <w:color w:val="0000FF"/>
                  <w:sz w:val="20"/>
                  <w:u w:val="single"/>
                </w:rPr>
                <w:t>PART I. FINANCIAL INFORMATION</w:t>
              </w:r>
            </w:hyperlink>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3">
              <w:r>
                <w:rPr>
                  <w:rStyle w:val="InternetLink"/>
                  <w:rFonts w:ascii="Times New Roman;sans-serif" w:hAnsi="Times New Roman;sans-serif"/>
                  <w:b/>
                  <w:color w:val="0000FF"/>
                  <w:sz w:val="20"/>
                  <w:u w:val="single"/>
                </w:rPr>
                <w:t>ITEM 1.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6">
              <w:r>
                <w:rPr>
                  <w:rStyle w:val="InternetLink"/>
                  <w:rFonts w:ascii="Times New Roman;sans-serif" w:hAnsi="Times New Roman;sans-serif"/>
                  <w:b w:val="false"/>
                  <w:color w:val="000080"/>
                  <w:sz w:val="20"/>
                  <w:u w:val="single"/>
                </w:rPr>
                <w:t>Unaudited Condensed Consolidated Statements of Income and Comprehensive Income - Three</w:t>
              </w:r>
            </w:hyperlink>
            <w:hyperlink w:anchor="ic36bab67a8454ed4a4893e0a907d94b1_16">
              <w:r>
                <w:rPr>
                  <w:rStyle w:val="InternetLink"/>
                  <w:rFonts w:ascii="Times New Roman;sans-serif" w:hAnsi="Times New Roman;sans-serif"/>
                  <w:b w:val="false"/>
                  <w:color w:val="000080"/>
                  <w:sz w:val="20"/>
                  <w:u w:val="single"/>
                </w:rPr>
                <w:t xml:space="preserve"> Months Ende</w:t>
              </w:r>
            </w:hyperlink>
            <w:hyperlink w:anchor="ic36bab67a8454ed4a4893e0a907d94b1_16">
              <w:r>
                <w:rPr>
                  <w:rStyle w:val="InternetLink"/>
                  <w:rFonts w:ascii="Times New Roman;sans-serif" w:hAnsi="Times New Roman;sans-serif"/>
                  <w:b w:val="false"/>
                  <w:color w:val="000080"/>
                  <w:sz w:val="20"/>
                  <w:u w:val="single"/>
                </w:rPr>
                <w:t xml:space="preserve">d </w:t>
              </w:r>
            </w:hyperlink>
            <w:hyperlink w:anchor="ic36bab67a8454ed4a4893e0a907d94b1_16">
              <w:r>
                <w:rPr>
                  <w:rStyle w:val="InternetLink"/>
                  <w:rFonts w:ascii="Times New Roman;sans-serif" w:hAnsi="Times New Roman;sans-serif"/>
                  <w:b w:val="false"/>
                  <w:color w:val="000080"/>
                  <w:sz w:val="20"/>
                  <w:u w:val="single"/>
                </w:rPr>
                <w:t>July 1, 202</w:t>
              </w:r>
            </w:hyperlink>
            <w:hyperlink w:anchor="ic36bab67a8454ed4a4893e0a907d94b1_16">
              <w:r>
                <w:rPr>
                  <w:rStyle w:val="InternetLink"/>
                  <w:rFonts w:ascii="Times New Roman;sans-serif" w:hAnsi="Times New Roman;sans-serif"/>
                  <w:b w:val="false"/>
                  <w:color w:val="000080"/>
                  <w:sz w:val="20"/>
                  <w:u w:val="single"/>
                </w:rPr>
                <w:t xml:space="preserve">3 and </w:t>
              </w:r>
            </w:hyperlink>
            <w:hyperlink w:anchor="ic36bab67a8454ed4a4893e0a907d94b1_16">
              <w:r>
                <w:rPr>
                  <w:rStyle w:val="InternetLink"/>
                  <w:rFonts w:ascii="Times New Roman;sans-serif" w:hAnsi="Times New Roman;sans-serif"/>
                  <w:b w:val="false"/>
                  <w:color w:val="000080"/>
                  <w:sz w:val="20"/>
                  <w:u w:val="single"/>
                </w:rPr>
                <w:t>July 2,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6">
              <w:r>
                <w:rPr>
                  <w:rStyle w:val="InternetLink"/>
                  <w:rFonts w:ascii="Times New Roman;sans-serif" w:hAnsi="Times New Roman;sans-serif"/>
                  <w:b w:val="false"/>
                  <w:color w:val="0000FF"/>
                  <w:sz w:val="20"/>
                  <w:u w:val="single"/>
                </w:rPr>
                <w:t>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9">
              <w:r>
                <w:rPr>
                  <w:rStyle w:val="InternetLink"/>
                  <w:rFonts w:ascii="Times New Roman;sans-serif" w:hAnsi="Times New Roman;sans-serif"/>
                  <w:b w:val="false"/>
                  <w:color w:val="000080"/>
                  <w:sz w:val="20"/>
                  <w:u w:val="single"/>
                </w:rPr>
                <w:t xml:space="preserve">Unaudited Condensed Consolidated Balance Sheet - </w:t>
              </w:r>
            </w:hyperlink>
            <w:hyperlink w:anchor="ic36bab67a8454ed4a4893e0a907d94b1_19">
              <w:r>
                <w:rPr>
                  <w:rStyle w:val="InternetLink"/>
                  <w:rFonts w:ascii="Times New Roman;sans-serif" w:hAnsi="Times New Roman;sans-serif"/>
                  <w:b w:val="false"/>
                  <w:color w:val="000080"/>
                  <w:sz w:val="20"/>
                  <w:u w:val="single"/>
                </w:rPr>
                <w:t>July 1, 2023</w:t>
              </w:r>
            </w:hyperlink>
            <w:hyperlink w:anchor="ic36bab67a8454ed4a4893e0a907d94b1_19">
              <w:r>
                <w:rPr>
                  <w:rStyle w:val="InternetLink"/>
                  <w:rFonts w:ascii="Times New Roman;sans-serif" w:hAnsi="Times New Roman;sans-serif"/>
                  <w:b w:val="false"/>
                  <w:color w:val="000080"/>
                  <w:sz w:val="20"/>
                  <w:u w:val="single"/>
                </w:rPr>
                <w:t xml:space="preserve"> and Consolidated Balance Sheet - April </w:t>
              </w:r>
            </w:hyperlink>
            <w:hyperlink w:anchor="ic36bab67a8454ed4a4893e0a907d94b1_19">
              <w:r>
                <w:rPr>
                  <w:rStyle w:val="InternetLink"/>
                  <w:rFonts w:ascii="Times New Roman;sans-serif" w:hAnsi="Times New Roman;sans-serif"/>
                  <w:b w:val="false"/>
                  <w:color w:val="000080"/>
                  <w:sz w:val="20"/>
                  <w:u w:val="single"/>
                </w:rPr>
                <w:t>1</w:t>
              </w:r>
            </w:hyperlink>
            <w:hyperlink w:anchor="ic36bab67a8454ed4a4893e0a907d94b1_19">
              <w:r>
                <w:rPr>
                  <w:rStyle w:val="InternetLink"/>
                  <w:rFonts w:ascii="Times New Roman;sans-serif" w:hAnsi="Times New Roman;sans-serif"/>
                  <w:b w:val="false"/>
                  <w:color w:val="000080"/>
                  <w:sz w:val="20"/>
                  <w:u w:val="single"/>
                </w:rPr>
                <w:t>, 202</w:t>
              </w:r>
            </w:hyperlink>
            <w:hyperlink w:anchor="ic36bab67a8454ed4a4893e0a907d94b1_19">
              <w:r>
                <w:rPr>
                  <w:rStyle w:val="InternetLink"/>
                  <w:rFonts w:ascii="Times New Roman;sans-serif" w:hAnsi="Times New Roman;sans-serif"/>
                  <w:b w:val="false"/>
                  <w:color w:val="000080"/>
                  <w:sz w:val="20"/>
                  <w:u w:val="single"/>
                </w:rPr>
                <w:t>3</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9">
              <w:r>
                <w:rPr>
                  <w:rStyle w:val="InternetLink"/>
                  <w:rFonts w:ascii="Times New Roman;sans-serif" w:hAnsi="Times New Roman;sans-serif"/>
                  <w:b w:val="false"/>
                  <w:color w:val="0000FF"/>
                  <w:sz w:val="20"/>
                  <w:u w:val="single"/>
                </w:rPr>
                <w:t>4</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22">
              <w:r>
                <w:rPr>
                  <w:rStyle w:val="InternetLink"/>
                  <w:rFonts w:ascii="Times New Roman;sans-serif" w:hAnsi="Times New Roman;sans-serif"/>
                  <w:b w:val="false"/>
                  <w:color w:val="0000FF"/>
                  <w:sz w:val="20"/>
                  <w:u w:val="single"/>
                </w:rPr>
                <w:t>Unaudited Condensed Consolidated Statements of Stockholders</w:t>
              </w:r>
            </w:hyperlink>
            <w:r>
              <w:rPr>
                <w:color w:val="0E32E1"/>
                <w:u w:val="single"/>
              </w:rPr>
              <w:t>’</w:t>
            </w:r>
            <w:hyperlink w:anchor="ic36bab67a8454ed4a4893e0a907d94b1_22">
              <w:r>
                <w:rPr>
                  <w:rStyle w:val="InternetLink"/>
                  <w:color w:val="0000FF"/>
                  <w:u w:val="single"/>
                </w:rPr>
                <w:t xml:space="preserve"> </w:t>
              </w:r>
            </w:hyperlink>
            <w:hyperlink w:anchor="ic36bab67a8454ed4a4893e0a907d94b1_22">
              <w:r>
                <w:rPr>
                  <w:rStyle w:val="InternetLink"/>
                  <w:rFonts w:ascii="Times New Roman;sans-serif" w:hAnsi="Times New Roman;sans-serif"/>
                  <w:b w:val="false"/>
                  <w:color w:val="0000FF"/>
                  <w:sz w:val="20"/>
                  <w:u w:val="single"/>
                </w:rPr>
                <w:t xml:space="preserve">Equity - Three </w:t>
              </w:r>
            </w:hyperlink>
            <w:hyperlink w:anchor="ic36bab67a8454ed4a4893e0a907d94b1_22">
              <w:r>
                <w:rPr>
                  <w:rStyle w:val="InternetLink"/>
                  <w:rFonts w:ascii="Times New Roman;sans-serif" w:hAnsi="Times New Roman;sans-serif"/>
                  <w:b w:val="false"/>
                  <w:color w:val="000080"/>
                  <w:sz w:val="20"/>
                  <w:u w:val="single"/>
                </w:rPr>
                <w:t xml:space="preserve">Months Ended </w:t>
              </w:r>
            </w:hyperlink>
            <w:hyperlink w:anchor="ic36bab67a8454ed4a4893e0a907d94b1_22">
              <w:r>
                <w:rPr>
                  <w:rStyle w:val="InternetLink"/>
                  <w:rFonts w:ascii="Times New Roman;sans-serif" w:hAnsi="Times New Roman;sans-serif"/>
                  <w:b w:val="false"/>
                  <w:color w:val="000080"/>
                  <w:sz w:val="20"/>
                  <w:u w:val="single"/>
                </w:rPr>
                <w:t>July 1</w:t>
              </w:r>
            </w:hyperlink>
            <w:hyperlink w:anchor="ic36bab67a8454ed4a4893e0a907d94b1_22">
              <w:r>
                <w:rPr>
                  <w:rStyle w:val="InternetLink"/>
                  <w:rFonts w:ascii="Times New Roman;sans-serif" w:hAnsi="Times New Roman;sans-serif"/>
                  <w:b w:val="false"/>
                  <w:color w:val="000080"/>
                  <w:sz w:val="20"/>
                  <w:u w:val="single"/>
                </w:rPr>
                <w:t>, 202</w:t>
              </w:r>
            </w:hyperlink>
            <w:hyperlink w:anchor="ic36bab67a8454ed4a4893e0a907d94b1_22">
              <w:r>
                <w:rPr>
                  <w:rStyle w:val="InternetLink"/>
                  <w:rFonts w:ascii="Times New Roman;sans-serif" w:hAnsi="Times New Roman;sans-serif"/>
                  <w:b w:val="false"/>
                  <w:color w:val="000080"/>
                  <w:sz w:val="20"/>
                  <w:u w:val="single"/>
                </w:rPr>
                <w:t>3</w:t>
              </w:r>
            </w:hyperlink>
            <w:hyperlink w:anchor="ic36bab67a8454ed4a4893e0a907d94b1_22">
              <w:r>
                <w:rPr>
                  <w:rStyle w:val="InternetLink"/>
                  <w:rFonts w:ascii="Times New Roman;sans-serif" w:hAnsi="Times New Roman;sans-serif"/>
                  <w:b w:val="false"/>
                  <w:color w:val="000080"/>
                  <w:sz w:val="20"/>
                  <w:u w:val="single"/>
                </w:rPr>
                <w:t xml:space="preserve"> and J</w:t>
              </w:r>
            </w:hyperlink>
            <w:hyperlink w:anchor="ic36bab67a8454ed4a4893e0a907d94b1_22">
              <w:r>
                <w:rPr>
                  <w:rStyle w:val="InternetLink"/>
                  <w:rFonts w:ascii="Times New Roman;sans-serif" w:hAnsi="Times New Roman;sans-serif"/>
                  <w:b w:val="false"/>
                  <w:color w:val="000080"/>
                  <w:sz w:val="20"/>
                  <w:u w:val="single"/>
                </w:rPr>
                <w:t>uly</w:t>
              </w:r>
            </w:hyperlink>
            <w:hyperlink w:anchor="ic36bab67a8454ed4a4893e0a907d94b1_22">
              <w:r>
                <w:rPr>
                  <w:rStyle w:val="InternetLink"/>
                  <w:rFonts w:ascii="Times New Roman;sans-serif" w:hAnsi="Times New Roman;sans-serif"/>
                  <w:b w:val="false"/>
                  <w:color w:val="000080"/>
                  <w:sz w:val="20"/>
                  <w:u w:val="single"/>
                </w:rPr>
                <w:t xml:space="preserve"> </w:t>
              </w:r>
            </w:hyperlink>
            <w:hyperlink w:anchor="ic36bab67a8454ed4a4893e0a907d94b1_22">
              <w:r>
                <w:rPr>
                  <w:rStyle w:val="InternetLink"/>
                  <w:rFonts w:ascii="Times New Roman;sans-serif" w:hAnsi="Times New Roman;sans-serif"/>
                  <w:b w:val="false"/>
                  <w:color w:val="000080"/>
                  <w:sz w:val="20"/>
                  <w:u w:val="single"/>
                </w:rPr>
                <w:t>2</w:t>
              </w:r>
            </w:hyperlink>
            <w:hyperlink w:anchor="ic36bab67a8454ed4a4893e0a907d94b1_22">
              <w:r>
                <w:rPr>
                  <w:rStyle w:val="InternetLink"/>
                  <w:rFonts w:ascii="Times New Roman;sans-serif" w:hAnsi="Times New Roman;sans-serif"/>
                  <w:b w:val="false"/>
                  <w:color w:val="000080"/>
                  <w:sz w:val="20"/>
                  <w:u w:val="single"/>
                </w:rPr>
                <w:t>,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22">
              <w:r>
                <w:rPr>
                  <w:rStyle w:val="InternetLink"/>
                  <w:rFonts w:ascii="Times New Roman;sans-serif" w:hAnsi="Times New Roman;sans-serif"/>
                  <w:b w:val="false"/>
                  <w:color w:val="0000FF"/>
                  <w:sz w:val="20"/>
                  <w:u w:val="single"/>
                </w:rPr>
                <w:t>5</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25">
              <w:r>
                <w:rPr>
                  <w:rStyle w:val="InternetLink"/>
                  <w:rFonts w:ascii="Times New Roman;sans-serif" w:hAnsi="Times New Roman;sans-serif"/>
                  <w:b w:val="false"/>
                  <w:color w:val="000080"/>
                  <w:sz w:val="20"/>
                  <w:u w:val="single"/>
                </w:rPr>
                <w:t xml:space="preserve">Unaudited Condensed Consolidated Statements of Cash Flows - </w:t>
              </w:r>
            </w:hyperlink>
            <w:hyperlink w:anchor="ic36bab67a8454ed4a4893e0a907d94b1_25">
              <w:r>
                <w:rPr>
                  <w:rStyle w:val="InternetLink"/>
                  <w:rFonts w:ascii="Times New Roman;sans-serif" w:hAnsi="Times New Roman;sans-serif"/>
                  <w:b w:val="false"/>
                  <w:color w:val="000080"/>
                  <w:sz w:val="20"/>
                  <w:u w:val="single"/>
                </w:rPr>
                <w:t>Three</w:t>
              </w:r>
            </w:hyperlink>
            <w:hyperlink w:anchor="ic36bab67a8454ed4a4893e0a907d94b1_25">
              <w:r>
                <w:rPr>
                  <w:rStyle w:val="InternetLink"/>
                  <w:rFonts w:ascii="Times New Roman;sans-serif" w:hAnsi="Times New Roman;sans-serif"/>
                  <w:b w:val="false"/>
                  <w:color w:val="000080"/>
                  <w:sz w:val="20"/>
                  <w:u w:val="single"/>
                </w:rPr>
                <w:t xml:space="preserve"> Months Ended </w:t>
              </w:r>
            </w:hyperlink>
            <w:hyperlink w:anchor="ic36bab67a8454ed4a4893e0a907d94b1_25">
              <w:r>
                <w:rPr>
                  <w:rStyle w:val="InternetLink"/>
                  <w:rFonts w:ascii="Times New Roman;sans-serif" w:hAnsi="Times New Roman;sans-serif"/>
                  <w:b w:val="false"/>
                  <w:color w:val="000080"/>
                  <w:sz w:val="20"/>
                  <w:u w:val="single"/>
                </w:rPr>
                <w:t>July 1, 2023</w:t>
              </w:r>
            </w:hyperlink>
            <w:hyperlink w:anchor="ic36bab67a8454ed4a4893e0a907d94b1_25">
              <w:r>
                <w:rPr>
                  <w:rStyle w:val="InternetLink"/>
                  <w:rFonts w:ascii="Times New Roman;sans-serif" w:hAnsi="Times New Roman;sans-serif"/>
                  <w:b w:val="false"/>
                  <w:color w:val="000080"/>
                  <w:sz w:val="20"/>
                  <w:u w:val="single"/>
                </w:rPr>
                <w:t xml:space="preserve"> and J</w:t>
              </w:r>
            </w:hyperlink>
            <w:hyperlink w:anchor="ic36bab67a8454ed4a4893e0a907d94b1_25">
              <w:r>
                <w:rPr>
                  <w:rStyle w:val="InternetLink"/>
                  <w:rFonts w:ascii="Times New Roman;sans-serif" w:hAnsi="Times New Roman;sans-serif"/>
                  <w:b w:val="false"/>
                  <w:color w:val="000080"/>
                  <w:sz w:val="20"/>
                  <w:u w:val="single"/>
                </w:rPr>
                <w:t>uly 2</w:t>
              </w:r>
            </w:hyperlink>
            <w:hyperlink w:anchor="ic36bab67a8454ed4a4893e0a907d94b1_25">
              <w:r>
                <w:rPr>
                  <w:rStyle w:val="InternetLink"/>
                  <w:rFonts w:ascii="Times New Roman;sans-serif" w:hAnsi="Times New Roman;sans-serif"/>
                  <w:b w:val="false"/>
                  <w:color w:val="000080"/>
                  <w:sz w:val="20"/>
                  <w:u w:val="single"/>
                </w:rPr>
                <w:t>,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25">
              <w:r>
                <w:rPr>
                  <w:rStyle w:val="InternetLink"/>
                  <w:rFonts w:ascii="Times New Roman;sans-serif" w:hAnsi="Times New Roman;sans-serif"/>
                  <w:b w:val="false"/>
                  <w:color w:val="0000FF"/>
                  <w:sz w:val="20"/>
                  <w:u w:val="single"/>
                </w:rPr>
                <w:t>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28">
              <w:r>
                <w:rPr>
                  <w:rStyle w:val="InternetLink"/>
                  <w:rFonts w:ascii="Times New Roman;sans-serif" w:hAnsi="Times New Roman;sans-serif"/>
                  <w:b w:val="false"/>
                  <w:color w:val="0000FF"/>
                  <w:sz w:val="20"/>
                  <w:u w:val="single"/>
                </w:rPr>
                <w:t>Notes to Unaudited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28">
              <w:r>
                <w:rPr>
                  <w:rStyle w:val="InternetLink"/>
                  <w:rFonts w:ascii="Times New Roman;sans-serif" w:hAnsi="Times New Roman;sans-serif"/>
                  <w:b w:val="false"/>
                  <w:color w:val="0000FF"/>
                  <w:sz w:val="20"/>
                  <w:u w:val="single"/>
                </w:rPr>
                <w:t>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76">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76">
              <w:r>
                <w:rPr>
                  <w:rStyle w:val="InternetLink"/>
                  <w:rFonts w:ascii="Times New Roman;sans-serif" w:hAnsi="Times New Roman;sans-serif"/>
                  <w:b w:val="false"/>
                  <w:color w:val="0000FF"/>
                  <w:sz w:val="20"/>
                  <w:u w:val="single"/>
                </w:rPr>
                <w:t>20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00">
              <w:r>
                <w:rPr>
                  <w:rStyle w:val="InternetLink"/>
                  <w:rFonts w:ascii="Times New Roman;sans-serif" w:hAnsi="Times New Roman;sans-serif"/>
                  <w:b/>
                  <w:color w:val="0000FF"/>
                  <w:sz w:val="20"/>
                  <w:u w:val="single"/>
                </w:rPr>
                <w:t>ITEM 3. 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00">
              <w:r>
                <w:rPr>
                  <w:rStyle w:val="InternetLink"/>
                  <w:rFonts w:ascii="Times New Roman;sans-serif" w:hAnsi="Times New Roman;sans-serif"/>
                  <w:b w:val="false"/>
                  <w:color w:val="0000FF"/>
                  <w:sz w:val="20"/>
                  <w:u w:val="single"/>
                </w:rPr>
                <w:t>28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03">
              <w:r>
                <w:rPr>
                  <w:rStyle w:val="InternetLink"/>
                  <w:rFonts w:ascii="Times New Roman;sans-serif" w:hAnsi="Times New Roman;sans-serif"/>
                  <w:b/>
                  <w:color w:val="0000FF"/>
                  <w:sz w:val="20"/>
                  <w:u w:val="single"/>
                </w:rPr>
                <w:t>ITEM 4. 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03">
              <w:r>
                <w:rPr>
                  <w:rStyle w:val="InternetLink"/>
                  <w:rFonts w:ascii="Times New Roman;sans-serif" w:hAnsi="Times New Roman;sans-serif"/>
                  <w:b w:val="false"/>
                  <w:color w:val="0000FF"/>
                  <w:sz w:val="20"/>
                  <w:u w:val="single"/>
                </w:rPr>
                <w:t>28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06">
              <w:r>
                <w:rPr>
                  <w:rStyle w:val="InternetLink"/>
                  <w:rFonts w:ascii="Times New Roman;sans-serif" w:hAnsi="Times New Roman;sans-serif"/>
                  <w:b/>
                  <w:color w:val="0000FF"/>
                  <w:sz w:val="20"/>
                  <w:u w:val="single"/>
                </w:rPr>
                <w:t>PART II.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06">
              <w:r>
                <w:rPr>
                  <w:rStyle w:val="InternetLink"/>
                  <w:rFonts w:ascii="Times New Roman;sans-serif" w:hAnsi="Times New Roman;sans-serif"/>
                  <w:b w:val="false"/>
                  <w:color w:val="0000FF"/>
                  <w:sz w:val="20"/>
                  <w:u w:val="single"/>
                </w:rPr>
                <w:t>29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09">
              <w:r>
                <w:rPr>
                  <w:rStyle w:val="InternetLink"/>
                  <w:rFonts w:ascii="Times New Roman;sans-serif" w:hAnsi="Times New Roman;sans-serif"/>
                  <w:b/>
                  <w:color w:val="0000FF"/>
                  <w:sz w:val="20"/>
                  <w:u w:val="single"/>
                </w:rPr>
                <w:t>ITEM 1. 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09">
              <w:r>
                <w:rPr>
                  <w:rStyle w:val="InternetLink"/>
                  <w:rFonts w:ascii="Times New Roman;sans-serif" w:hAnsi="Times New Roman;sans-serif"/>
                  <w:b w:val="false"/>
                  <w:color w:val="0000FF"/>
                  <w:sz w:val="20"/>
                  <w:u w:val="single"/>
                </w:rPr>
                <w:t>29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12">
              <w:r>
                <w:rPr>
                  <w:rStyle w:val="InternetLink"/>
                  <w:rFonts w:ascii="Times New Roman;sans-serif" w:hAnsi="Times New Roman;sans-serif"/>
                  <w:b/>
                  <w:color w:val="0000FF"/>
                  <w:sz w:val="20"/>
                  <w:u w:val="single"/>
                </w:rPr>
                <w:t>ITEM 1A. 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12">
              <w:r>
                <w:rPr>
                  <w:rStyle w:val="InternetLink"/>
                  <w:rFonts w:ascii="Times New Roman;sans-serif" w:hAnsi="Times New Roman;sans-serif"/>
                  <w:b w:val="false"/>
                  <w:color w:val="0000FF"/>
                  <w:sz w:val="20"/>
                  <w:u w:val="single"/>
                </w:rPr>
                <w:t>29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15">
              <w:r>
                <w:rPr>
                  <w:rStyle w:val="InternetLink"/>
                  <w:rFonts w:ascii="Times New Roman;sans-serif" w:hAnsi="Times New Roman;sans-serif"/>
                  <w:b/>
                  <w:color w:val="0000FF"/>
                  <w:sz w:val="20"/>
                  <w:u w:val="single"/>
                </w:rPr>
                <w:t>ITEM 2. 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15">
              <w:r>
                <w:rPr>
                  <w:rStyle w:val="InternetLink"/>
                  <w:rFonts w:ascii="Times New Roman;sans-serif" w:hAnsi="Times New Roman;sans-serif"/>
                  <w:b w:val="false"/>
                  <w:color w:val="0000FF"/>
                  <w:sz w:val="20"/>
                  <w:u w:val="single"/>
                </w:rPr>
                <w:t>29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18">
              <w:r>
                <w:rPr>
                  <w:rStyle w:val="InternetLink"/>
                  <w:rFonts w:ascii="Times New Roman;sans-serif" w:hAnsi="Times New Roman;sans-serif"/>
                  <w:b/>
                  <w:color w:val="0000FF"/>
                  <w:sz w:val="20"/>
                  <w:u w:val="single"/>
                </w:rPr>
                <w:t>ITEM 3. Defaults upon Senior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18">
              <w:r>
                <w:rPr>
                  <w:rStyle w:val="InternetLink"/>
                  <w:rFonts w:ascii="Times New Roman;sans-serif" w:hAnsi="Times New Roman;sans-serif"/>
                  <w:b w:val="false"/>
                  <w:color w:val="0000FF"/>
                  <w:sz w:val="20"/>
                  <w:u w:val="single"/>
                </w:rPr>
                <w:t>29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21">
              <w:r>
                <w:rPr>
                  <w:rStyle w:val="InternetLink"/>
                  <w:rFonts w:ascii="Times New Roman;sans-serif" w:hAnsi="Times New Roman;sans-serif"/>
                  <w:b/>
                  <w:color w:val="0000FF"/>
                  <w:sz w:val="20"/>
                  <w:u w:val="single"/>
                </w:rPr>
                <w:t>ITEM 4. 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21">
              <w:r>
                <w:rPr>
                  <w:rStyle w:val="InternetLink"/>
                  <w:rFonts w:ascii="Times New Roman;sans-serif" w:hAnsi="Times New Roman;sans-serif"/>
                  <w:b w:val="false"/>
                  <w:color w:val="0000FF"/>
                  <w:sz w:val="20"/>
                  <w:u w:val="single"/>
                </w:rPr>
                <w:t>29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24">
              <w:r>
                <w:rPr>
                  <w:rStyle w:val="InternetLink"/>
                  <w:rFonts w:ascii="Times New Roman;sans-serif" w:hAnsi="Times New Roman;sans-serif"/>
                  <w:b/>
                  <w:color w:val="0000FF"/>
                  <w:sz w:val="20"/>
                  <w:u w:val="single"/>
                </w:rPr>
                <w:t>ITEM 5.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24">
              <w:r>
                <w:rPr>
                  <w:rStyle w:val="InternetLink"/>
                  <w:rFonts w:ascii="Times New Roman;sans-serif" w:hAnsi="Times New Roman;sans-serif"/>
                  <w:b w:val="false"/>
                  <w:color w:val="0000FF"/>
                  <w:sz w:val="20"/>
                  <w:u w:val="single"/>
                </w:rPr>
                <w:t>29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27">
              <w:r>
                <w:rPr>
                  <w:rStyle w:val="InternetLink"/>
                  <w:rFonts w:ascii="Times New Roman;sans-serif" w:hAnsi="Times New Roman;sans-serif"/>
                  <w:b/>
                  <w:color w:val="0000FF"/>
                  <w:sz w:val="20"/>
                  <w:u w:val="single"/>
                </w:rPr>
                <w:t>ITEM 6. 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27">
              <w:r>
                <w:rPr>
                  <w:rStyle w:val="InternetLink"/>
                  <w:rFonts w:ascii="Times New Roman;sans-serif" w:hAnsi="Times New Roman;sans-serif"/>
                  <w:b w:val="false"/>
                  <w:color w:val="0000FF"/>
                  <w:sz w:val="20"/>
                  <w:u w:val="single"/>
                </w:rPr>
                <w:t>30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6bab67a8454ed4a4893e0a907d94b1_130">
              <w:r>
                <w:rPr>
                  <w:rStyle w:val="InternetLink"/>
                  <w:rFonts w:ascii="Times New Roman;sans-serif" w:hAnsi="Times New Roman;sans-serif"/>
                  <w:b/>
                  <w:color w:val="0000FF"/>
                  <w:sz w:val="20"/>
                  <w:u w:val="singl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6bab67a8454ed4a4893e0a907d94b1_130">
              <w:r>
                <w:rPr>
                  <w:rStyle w:val="InternetLink"/>
                  <w:rFonts w:ascii="Times New Roman;sans-serif" w:hAnsi="Times New Roman;sans-serif"/>
                  <w:b w:val="false"/>
                  <w:color w:val="0000FF"/>
                  <w:sz w:val="20"/>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29" w:type="dxa"/>
        <w:jc w:val="center"/>
        <w:tblInd w:w="0" w:type="dxa"/>
        <w:tblLayout w:type="fixed"/>
        <w:tblCellMar>
          <w:top w:w="28" w:type="dxa"/>
          <w:left w:w="28" w:type="dxa"/>
          <w:bottom w:w="28" w:type="dxa"/>
          <w:right w:w="28" w:type="dxa"/>
        </w:tblCellMar>
      </w:tblPr>
      <w:tblGrid>
        <w:gridCol w:w="1314"/>
        <w:gridCol w:w="1157"/>
        <w:gridCol w:w="1158"/>
        <w:gridCol w:w="211"/>
        <w:gridCol w:w="826"/>
        <w:gridCol w:w="109"/>
        <w:gridCol w:w="109"/>
        <w:gridCol w:w="109"/>
        <w:gridCol w:w="109"/>
        <w:gridCol w:w="211"/>
        <w:gridCol w:w="826"/>
        <w:gridCol w:w="109"/>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 average shares outstanding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data)</w:t>
      </w:r>
    </w:p>
    <w:tbl>
      <w:tblPr>
        <w:tblW w:w="10205" w:type="dxa"/>
        <w:jc w:val="left"/>
        <w:tblInd w:w="0" w:type="dxa"/>
        <w:tblLayout w:type="fixed"/>
        <w:tblCellMar>
          <w:top w:w="28" w:type="dxa"/>
          <w:left w:w="28" w:type="dxa"/>
          <w:bottom w:w="28" w:type="dxa"/>
          <w:right w:w="28" w:type="dxa"/>
        </w:tblCellMar>
      </w:tblPr>
      <w:tblGrid>
        <w:gridCol w:w="2955"/>
        <w:gridCol w:w="2240"/>
        <w:gridCol w:w="2254"/>
        <w:gridCol w:w="196"/>
        <w:gridCol w:w="886"/>
        <w:gridCol w:w="109"/>
        <w:gridCol w:w="109"/>
        <w:gridCol w:w="109"/>
        <w:gridCol w:w="109"/>
        <w:gridCol w:w="196"/>
        <w:gridCol w:w="886"/>
        <w:gridCol w:w="156"/>
      </w:tblGrid>
      <w:tr>
        <w:trPr/>
        <w:tc>
          <w:tcPr>
            <w:tcW w:w="295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April 1,</w:t>
              <w:br/>
              <w:t>2023</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less allowance for credit losses of $5,047 at July 1, 2023 and $4,932 at April 1, 2023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less accumulated amortization of $427,521 at July 1, 2023 and $417,422 at April 1, 2023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1,962,258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1,934,825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and current maturities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maturities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754,102 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 150,000,000 shares; Issued and outstanding — 50,705,779 shares at July 1, 2023 and 50,448,519 shares at April 1, 2023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817,997 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1,962,258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1,934,825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936"/>
        <w:gridCol w:w="610"/>
        <w:gridCol w:w="616"/>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208"/>
        <w:gridCol w:w="801"/>
        <w:gridCol w:w="116"/>
        <w:gridCol w:w="109"/>
        <w:gridCol w:w="109"/>
        <w:gridCol w:w="109"/>
        <w:gridCol w:w="270"/>
        <w:gridCol w:w="992"/>
        <w:gridCol w:w="150"/>
        <w:gridCol w:w="109"/>
        <w:gridCol w:w="109"/>
        <w:gridCol w:w="109"/>
        <w:gridCol w:w="220"/>
        <w:gridCol w:w="844"/>
        <w:gridCol w:w="178"/>
      </w:tblGrid>
      <w:tr>
        <w:trPr/>
        <w:tc>
          <w:tcPr>
            <w:tcW w:w="9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Equity</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1,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50,449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594,706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253,168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(30,381)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817,997</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employee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1, 2023</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50,706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609,610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284,017</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(29,518)</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864,616</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36"/>
        <w:gridCol w:w="610"/>
        <w:gridCol w:w="616"/>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208"/>
        <w:gridCol w:w="801"/>
        <w:gridCol w:w="116"/>
        <w:gridCol w:w="109"/>
        <w:gridCol w:w="109"/>
        <w:gridCol w:w="109"/>
        <w:gridCol w:w="270"/>
        <w:gridCol w:w="992"/>
        <w:gridCol w:w="150"/>
        <w:gridCol w:w="109"/>
        <w:gridCol w:w="109"/>
        <w:gridCol w:w="109"/>
        <w:gridCol w:w="220"/>
        <w:gridCol w:w="844"/>
        <w:gridCol w:w="178"/>
      </w:tblGrid>
      <w:tr>
        <w:trPr/>
        <w:tc>
          <w:tcPr>
            <w:tcW w:w="9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Equity</w:t>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2,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51,124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572,476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202,391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(25,954)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749,424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2, 2022</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51,315</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580,359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222,268</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(32,717)</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770,423</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in thousands) </w:t>
      </w:r>
    </w:p>
    <w:tbl>
      <w:tblPr>
        <w:tblW w:w="8768" w:type="dxa"/>
        <w:jc w:val="center"/>
        <w:tblInd w:w="0" w:type="dxa"/>
        <w:tblLayout w:type="fixed"/>
        <w:tblCellMar>
          <w:top w:w="28" w:type="dxa"/>
          <w:left w:w="28" w:type="dxa"/>
          <w:bottom w:w="28" w:type="dxa"/>
          <w:right w:w="28" w:type="dxa"/>
        </w:tblCellMar>
      </w:tblPr>
      <w:tblGrid>
        <w:gridCol w:w="2273"/>
        <w:gridCol w:w="2001"/>
        <w:gridCol w:w="2010"/>
        <w:gridCol w:w="196"/>
        <w:gridCol w:w="751"/>
        <w:gridCol w:w="109"/>
        <w:gridCol w:w="109"/>
        <w:gridCol w:w="109"/>
        <w:gridCol w:w="109"/>
        <w:gridCol w:w="196"/>
        <w:gridCol w:w="751"/>
        <w:gridCol w:w="154"/>
      </w:tblGrid>
      <w:tr>
        <w:trPr/>
        <w:tc>
          <w:tcPr>
            <w:tcW w:w="227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w:t>
              <w:br/>
              <w:t>2022</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items: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reserve adjustment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operating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prepaid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other assets and 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accounts payable and 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plant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term loan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consideration 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to net share settle employee equity awards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rates on cash and cash equivalents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and Cash Equivalents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285,719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214,948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from inventory to fixed assets for placement of Haemonetics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BASIS OF PRESENTATION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three months ended July 1, 2023 are not necessarily indicative of the results that may be expected for the full fiscal year ending March 30, 2024 or any other interim period. These unaudited condensed consolidated financial statements should be read in conjunction with the audited consolidated financial statements and footnotes included in the Annual Report on Form 10-K for the fiscal year ended April 1,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considers events or transactions that occur after the balance sheet date but prior to the issuance of the financial statements to provide additional </w:t>
      </w:r>
      <w:r>
        <w:rPr>
          <w:rFonts w:ascii="Times New Roman;sans-serif" w:hAnsi="Times New Roman;sans-serif"/>
          <w:b w:val="false"/>
          <w:color w:val="000000"/>
          <w:sz w:val="20"/>
          <w:shd w:fill="FFFFFF" w:val="clear"/>
        </w:rPr>
        <w:t xml:space="preserve">evidence relative to certain estimates or to identify matters that require additional disclosure. Subsequent events have been evaluated as required. There were no material recognized or unrecognized subsequent events as of or </w:t>
      </w:r>
      <w:r>
        <w:rPr>
          <w:rFonts w:ascii="Times New Roman;sans-serif" w:hAnsi="Times New Roman;sans-serif"/>
          <w:b w:val="false"/>
          <w:color w:val="000000"/>
          <w:sz w:val="20"/>
        </w:rPr>
        <w:t>for the three months ended</w:t>
      </w:r>
      <w:r>
        <w:rPr>
          <w:color w:val="000000"/>
          <w:shd w:fill="FFFFFF" w:val="clear"/>
        </w:rPr>
        <w:t xml:space="preserve"> </w:t>
      </w:r>
      <w:r>
        <w:rPr>
          <w:rFonts w:ascii="Times New Roman;sans-serif" w:hAnsi="Times New Roman;sans-serif"/>
          <w:b w:val="false"/>
          <w:color w:val="000000"/>
          <w:sz w:val="20"/>
          <w:shd w:fill="FFFFFF" w:val="clear"/>
        </w:rPr>
        <w:t xml:space="preserve">July 1, 2023, except for those discussed in Note 8, </w:t>
      </w:r>
      <w:r>
        <w:rPr>
          <w:rFonts w:ascii="Times New Roman;sans-serif" w:hAnsi="Times New Roman;sans-serif"/>
          <w:b w:val="false"/>
          <w:i/>
          <w:color w:val="000000"/>
          <w:sz w:val="20"/>
          <w:shd w:fill="FFFFFF" w:val="clear"/>
        </w:rPr>
        <w:t>Inventories</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RECENT ACCOUNTING PRONOUNCEMENTS </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Standards Implemented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currently no recent accounting pronouncements that the Company expects to have a material impact on its financial position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3. STRATEGIC INVESTMENTS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part of the Company’s business development activities, it holds strategic investments in certain entities. During fiscal year 2023, the Company made investments in Vivasure Medical LTD (“Vivasure”), totaling €30 million. The investments in Vivasure include both preferred stock and a special share that allows the Company to acquire Vivasure in accordance with an agreement between the parties. The Company made certain other strategic investments totaling $6.0 million during the first quarter of fiscal 2024. The Company’s strategic investments are classified as other long-term assets on the Company’s Condensed </w:t>
      </w:r>
      <w:r>
        <w:rPr>
          <w:rFonts w:ascii="Times New Roman;sans-serif" w:hAnsi="Times New Roman;sans-serif"/>
          <w:b w:val="false"/>
          <w:color w:val="000000"/>
          <w:sz w:val="20"/>
          <w:shd w:fill="FFFFFF" w:val="clear"/>
        </w:rPr>
        <w:t xml:space="preserve">Consolidated Balance Sheets and the Company has not recorded any adjustments to the carrying value of the strategic investments during </w:t>
      </w:r>
      <w:r>
        <w:rPr>
          <w:rFonts w:ascii="Times New Roman;sans-serif" w:hAnsi="Times New Roman;sans-serif"/>
          <w:b w:val="false"/>
          <w:color w:val="000000"/>
          <w:sz w:val="20"/>
        </w:rPr>
        <w:t>three months ended July 1, 2023</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4. REVENUE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revenue recognition policy is to recognize revenues from product sales, software and services in accordance with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the Company had $24.6 million of transaction price allocated to remaining performance obligations related to executed contracts with an original duration of one year or more. The Company expects to recognize approximately 80% of this amount as revenue within the next twelve months and the remaining balance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and April 1, 2023, the Company had contract liabilities of $32.9 million and $30.2 million, respectively. During the three months ended July 1, 2023, the Company recognized $13.5 million of revenue that was included in the above April 1, 2023 contract liability balance. Contract liabilities are classified as other current liabilities on the condensed consolidated balance sheet. As of July 1, 2023 and April 1, 2023, the Company’s contract assets were immaterial.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RESTRUCTURING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expects to incur aggregate charges between $95 million and $105 million by the end of fiscal 2025 under the program. The majority of charges will result in cash outlays, including severance and other employee costs, and will be incurred as the specific actions required to execute these initiatives are identified and approved. During the three months ended July 1, 2023 and July 2, 2022, the Company incurred $2.2 million and $3.5 million, respectively, of restructuring and restructuring related costs under this program. Total cumulative charges under this program are $69.4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restructuring reserves related to the 2020 Program and prior programs for the three months ended July 1, 2023, substantially all of which relates to employee severance and other employee costs:</w:t>
      </w:r>
    </w:p>
    <w:tbl>
      <w:tblPr>
        <w:tblW w:w="6986" w:type="dxa"/>
        <w:jc w:val="center"/>
        <w:tblInd w:w="0" w:type="dxa"/>
        <w:tblLayout w:type="fixed"/>
        <w:tblCellMar>
          <w:top w:w="28" w:type="dxa"/>
          <w:left w:w="28" w:type="dxa"/>
          <w:bottom w:w="28" w:type="dxa"/>
          <w:right w:w="28" w:type="dxa"/>
        </w:tblCellMar>
      </w:tblPr>
      <w:tblGrid>
        <w:gridCol w:w="940"/>
        <w:gridCol w:w="827"/>
        <w:gridCol w:w="828"/>
        <w:gridCol w:w="109"/>
        <w:gridCol w:w="109"/>
        <w:gridCol w:w="109"/>
        <w:gridCol w:w="263"/>
        <w:gridCol w:w="770"/>
        <w:gridCol w:w="136"/>
        <w:gridCol w:w="109"/>
        <w:gridCol w:w="109"/>
        <w:gridCol w:w="109"/>
        <w:gridCol w:w="337"/>
        <w:gridCol w:w="746"/>
        <w:gridCol w:w="177"/>
        <w:gridCol w:w="109"/>
        <w:gridCol w:w="109"/>
        <w:gridCol w:w="109"/>
        <w:gridCol w:w="211"/>
        <w:gridCol w:w="61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restructuring costs by line item within our accompanying unaudited Condensed Consolidated Statements of Income and Comprehensive Income:</w:t>
      </w:r>
    </w:p>
    <w:tbl>
      <w:tblPr>
        <w:tblW w:w="6190" w:type="dxa"/>
        <w:jc w:val="center"/>
        <w:tblInd w:w="0" w:type="dxa"/>
        <w:tblLayout w:type="fixed"/>
        <w:tblCellMar>
          <w:top w:w="28" w:type="dxa"/>
          <w:left w:w="28" w:type="dxa"/>
          <w:bottom w:w="28" w:type="dxa"/>
          <w:right w:w="28" w:type="dxa"/>
        </w:tblCellMar>
      </w:tblPr>
      <w:tblGrid>
        <w:gridCol w:w="1352"/>
        <w:gridCol w:w="1188"/>
        <w:gridCol w:w="1195"/>
        <w:gridCol w:w="211"/>
        <w:gridCol w:w="466"/>
        <w:gridCol w:w="109"/>
        <w:gridCol w:w="109"/>
        <w:gridCol w:w="109"/>
        <w:gridCol w:w="109"/>
        <w:gridCol w:w="211"/>
        <w:gridCol w:w="541"/>
        <w:gridCol w:w="109"/>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of July 1, 2023, the Company had a restr</w:t>
      </w:r>
      <w:r>
        <w:rPr>
          <w:rFonts w:ascii="Times New Roman;sans-serif" w:hAnsi="Times New Roman;sans-serif"/>
          <w:b w:val="false"/>
          <w:color w:val="000000"/>
          <w:sz w:val="20"/>
          <w:shd w:fill="FFFFFF" w:val="clear"/>
        </w:rPr>
        <w:t xml:space="preserve">ucturing liability of </w:t>
      </w:r>
      <w:r>
        <w:rPr>
          <w:rFonts w:ascii="Times New Roman;sans-serif" w:hAnsi="Times New Roman;sans-serif"/>
          <w:b w:val="false"/>
          <w:color w:val="000000"/>
          <w:sz w:val="20"/>
        </w:rPr>
        <w:t>$1.6 million</w:t>
      </w:r>
      <w:r>
        <w:rPr>
          <w:rFonts w:ascii="Times New Roman;sans-serif" w:hAnsi="Times New Roman;sans-serif"/>
          <w:b w:val="false"/>
          <w:color w:val="000000"/>
          <w:sz w:val="20"/>
          <w:shd w:fill="FFFFFF" w:val="clear"/>
        </w:rPr>
        <w:t xml:space="preserve">, of which approximately </w:t>
      </w:r>
      <w:r>
        <w:rPr>
          <w:rFonts w:ascii="Times New Roman;sans-serif" w:hAnsi="Times New Roman;sans-serif"/>
          <w:b w:val="false"/>
          <w:color w:val="000000"/>
          <w:sz w:val="20"/>
        </w:rPr>
        <w:t>$1.2 million</w:t>
      </w:r>
      <w:r>
        <w:rPr>
          <w:color w:val="000000"/>
          <w:shd w:fill="FFFFFF" w:val="clear"/>
        </w:rPr>
        <w:t xml:space="preserve"> </w:t>
      </w:r>
      <w:r>
        <w:rPr>
          <w:rFonts w:ascii="Times New Roman;sans-serif" w:hAnsi="Times New Roman;sans-serif"/>
          <w:b w:val="false"/>
          <w:color w:val="000000"/>
          <w:sz w:val="20"/>
          <w:shd w:fill="FFFFFF" w:val="clear"/>
        </w:rPr>
        <w:t>is paya</w:t>
      </w:r>
      <w:r>
        <w:rPr>
          <w:rFonts w:ascii="Times New Roman;sans-serif" w:hAnsi="Times New Roman;sans-serif"/>
          <w:b w:val="false"/>
          <w:color w:val="000000"/>
          <w:sz w:val="20"/>
        </w:rPr>
        <w:t xml:space="preserve">ble within the next twelve months.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addition to the restructuring expenses included in the table above, the Company also incurred costs that do not constitute restructuring costs under ASC 420, </w:t>
      </w:r>
      <w:r>
        <w:rPr>
          <w:rFonts w:ascii="Times New Roman;sans-serif" w:hAnsi="Times New Roman;sans-serif"/>
          <w:b w:val="false"/>
          <w:i/>
          <w:color w:val="000000"/>
          <w:sz w:val="20"/>
        </w:rPr>
        <w:t>Exit and Disposal Cost Obligations,</w:t>
      </w:r>
      <w:r>
        <w:rPr>
          <w:color w:val="000000"/>
        </w:rPr>
        <w:t xml:space="preserve"> </w:t>
      </w:r>
      <w:r>
        <w:rPr>
          <w:rFonts w:ascii="Times New Roman;sans-serif" w:hAnsi="Times New Roman;sans-serif"/>
          <w:b w:val="false"/>
          <w:color w:val="000000"/>
          <w:sz w:val="20"/>
        </w:rPr>
        <w:t>and which the Company instead refers to as restructuring related costs. These costs consist primarily of expenditures directly related to the restructuring 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restructuring and restructuring related costs by reportable segment:</w:t>
      </w:r>
    </w:p>
    <w:tbl>
      <w:tblPr>
        <w:tblW w:w="7197" w:type="dxa"/>
        <w:jc w:val="center"/>
        <w:tblInd w:w="0" w:type="dxa"/>
        <w:tblLayout w:type="fixed"/>
        <w:tblCellMar>
          <w:top w:w="28" w:type="dxa"/>
          <w:left w:w="28" w:type="dxa"/>
          <w:bottom w:w="28" w:type="dxa"/>
          <w:right w:w="28" w:type="dxa"/>
        </w:tblCellMar>
      </w:tblPr>
      <w:tblGrid>
        <w:gridCol w:w="1588"/>
        <w:gridCol w:w="1394"/>
        <w:gridCol w:w="1397"/>
        <w:gridCol w:w="223"/>
        <w:gridCol w:w="667"/>
        <w:gridCol w:w="115"/>
        <w:gridCol w:w="109"/>
        <w:gridCol w:w="109"/>
        <w:gridCol w:w="109"/>
        <w:gridCol w:w="223"/>
        <w:gridCol w:w="667"/>
        <w:gridCol w:w="115"/>
        <w:gridCol w:w="109"/>
        <w:gridCol w:w="109"/>
        <w:gridCol w:w="109"/>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related costs</w:t>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restructuring and restructuring related costs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2,193</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3,478</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INCOME TAXES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July 1, 2023, the Company reported income tax expense of $10.5 million, representing an effective tax rate of 20.4%. The effective tax rate for the three months ended July 1, 2023 includes $1.2 million of discrete tax benefit primarily related to stock compensation windfalls.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July 2, 2022, the Company reported income tax expense of $5.6 million, representing an effective tax rate of 22.0%. The effective tax rate for the three months ended July 2, 2022 includes $0.6 million of discrete tax expense relating to stock compensation shortfalls.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EARNINGS PER SHARE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reconciliation of the numerators and denominators of the basic and diluted earnings per share computations. </w:t>
      </w:r>
    </w:p>
    <w:tbl>
      <w:tblPr>
        <w:tblW w:w="6219" w:type="dxa"/>
        <w:jc w:val="left"/>
        <w:tblInd w:w="0" w:type="dxa"/>
        <w:tblLayout w:type="fixed"/>
        <w:tblCellMar>
          <w:top w:w="28" w:type="dxa"/>
          <w:left w:w="28" w:type="dxa"/>
          <w:bottom w:w="28" w:type="dxa"/>
          <w:right w:w="28" w:type="dxa"/>
        </w:tblCellMar>
      </w:tblPr>
      <w:tblGrid>
        <w:gridCol w:w="1204"/>
        <w:gridCol w:w="1059"/>
        <w:gridCol w:w="1066"/>
        <w:gridCol w:w="211"/>
        <w:gridCol w:w="721"/>
        <w:gridCol w:w="109"/>
        <w:gridCol w:w="109"/>
        <w:gridCol w:w="109"/>
        <w:gridCol w:w="109"/>
        <w:gridCol w:w="211"/>
        <w:gridCol w:w="721"/>
        <w:gridCol w:w="109"/>
        <w:gridCol w:w="109"/>
        <w:gridCol w:w="109"/>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16"/>
              </w:rPr>
              <w:t>(In thousands, except per share amounts)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of common stock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per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pPr>
      <w:r>
        <w:rPr>
          <w:rFonts w:ascii="Times New Roman;sans-serif" w:hAnsi="Times New Roman;sans-serif"/>
          <w:b w:val="false"/>
          <w:color w:val="000000"/>
          <w:sz w:val="20"/>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w:t>
      </w:r>
      <w:r>
        <w:rPr>
          <w:rFonts w:ascii="Times New Roman;sans-serif" w:hAnsi="Times New Roman;sans-serif"/>
          <w:b w:val="false"/>
          <w:color w:val="000000"/>
          <w:sz w:val="20"/>
          <w:shd w:fill="FFFFFF" w:val="clear"/>
        </w:rPr>
        <w:t>nversion value of the convertible senior notes. For the three months ended July 1, 2023 and July 2, 2022, weighted average shares outstanding, assuming dilution, excludes the impact of 0.6 million and 0.9 million anti-dilutive shares,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 Repurchase Program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 August 2022, the Company announced that its Board of Directors had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 </w:t>
      </w:r>
      <w:r>
        <w:rPr>
          <w:rFonts w:ascii="Times New Roman;sans-serif" w:hAnsi="Times New Roman;sans-serif"/>
          <w:b w:val="false"/>
          <w:color w:val="000000"/>
          <w:sz w:val="20"/>
        </w:rPr>
        <w:t>As of July 1, 2023</w:t>
      </w:r>
      <w:r>
        <w:rPr>
          <w:rFonts w:ascii="Times New Roman;sans-serif" w:hAnsi="Times New Roman;sans-serif"/>
          <w:b w:val="false"/>
          <w:color w:val="000000"/>
          <w:sz w:val="20"/>
          <w:shd w:fill="FFFFFF" w:val="clear"/>
        </w:rPr>
        <w:t>, the total remaining authorization for repurchases of the Company's common stock under the share repurchase program was $225.0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and include the cost of material, labor and manufacturing overhead. Cost is determined with the first-in, first-out method.</w:t>
      </w:r>
    </w:p>
    <w:tbl>
      <w:tblPr>
        <w:tblW w:w="4596" w:type="dxa"/>
        <w:jc w:val="left"/>
        <w:tblInd w:w="0" w:type="dxa"/>
        <w:tblLayout w:type="fixed"/>
        <w:tblCellMar>
          <w:top w:w="28" w:type="dxa"/>
          <w:left w:w="28" w:type="dxa"/>
          <w:bottom w:w="28" w:type="dxa"/>
          <w:right w:w="28" w:type="dxa"/>
        </w:tblCellMar>
      </w:tblPr>
      <w:tblGrid>
        <w:gridCol w:w="605"/>
        <w:gridCol w:w="483"/>
        <w:gridCol w:w="487"/>
        <w:gridCol w:w="109"/>
        <w:gridCol w:w="109"/>
        <w:gridCol w:w="109"/>
        <w:gridCol w:w="211"/>
        <w:gridCol w:w="841"/>
        <w:gridCol w:w="109"/>
        <w:gridCol w:w="109"/>
        <w:gridCol w:w="109"/>
        <w:gridCol w:w="109"/>
        <w:gridCol w:w="211"/>
        <w:gridCol w:w="841"/>
        <w:gridCol w:w="154"/>
      </w:tblGrid>
      <w:tr>
        <w:trPr/>
        <w:tc>
          <w:tcPr>
            <w:tcW w:w="60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289,207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259,379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issued a voluntary recall of certain products within its Whole Blood business sold to customers in the U.S. and certain foreign jurisdictions. The Company recorded a charge of $3.4 million related to inventory with respect to this recall in the first quarter of fiscal 2024. The Company continues to evaluate the impact of this recall and may record additional incremental charges in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PROPERTY, PLANT AND EQUIPMENT</w:t>
      </w:r>
    </w:p>
    <w:p>
      <w:pPr>
        <w:pStyle w:val="TextBody"/>
        <w:bidi w:val="0"/>
        <w:spacing w:before="0" w:after="0"/>
        <w:jc w:val="left"/>
        <w:rPr/>
      </w:pPr>
      <w:r>
        <w:rPr/>
      </w:r>
    </w:p>
    <w:tbl>
      <w:tblPr>
        <w:tblW w:w="6875" w:type="dxa"/>
        <w:jc w:val="left"/>
        <w:tblInd w:w="0" w:type="dxa"/>
        <w:tblLayout w:type="fixed"/>
        <w:tblCellMar>
          <w:top w:w="28" w:type="dxa"/>
          <w:left w:w="28" w:type="dxa"/>
          <w:bottom w:w="28" w:type="dxa"/>
          <w:right w:w="28" w:type="dxa"/>
        </w:tblCellMar>
      </w:tblPr>
      <w:tblGrid>
        <w:gridCol w:w="1393"/>
        <w:gridCol w:w="1226"/>
        <w:gridCol w:w="1235"/>
        <w:gridCol w:w="109"/>
        <w:gridCol w:w="109"/>
        <w:gridCol w:w="109"/>
        <w:gridCol w:w="211"/>
        <w:gridCol w:w="841"/>
        <w:gridCol w:w="109"/>
        <w:gridCol w:w="109"/>
        <w:gridCol w:w="109"/>
        <w:gridCol w:w="109"/>
        <w:gridCol w:w="211"/>
        <w:gridCol w:w="841"/>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equipment and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information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304,467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310,885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$13.3 million and $11.7 million for the three months ended July 1, 2023 and July 2,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LEASES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Activity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3 percent of the Company’s total net sales.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NOTES PAYABLE AND LONG-TERM DEBT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$500.0 million aggregate principal amount of 0% convertible senior notes due 2026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first quarter of fiscal 2024, the conditions allowing holders of the 2026 Notes to convert have not been met. The 2026 Notes were therefore not convertible as of July 1, 2023 and were classified as long-term debt on the Company’s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the $500.0 million principal balance was netted down by the $7.2 million of remaining debt issuance costs, resulting in a net convertible note payable of $492.8 million. Interest expense related to the 2026 Notes was $0.7 million for the three months ended July 1, 2023, which is entirely attributable to the amortization of the debt issuance costs. The debt issuance costs are amortized at an effective interest rate of 0.5%.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June 15, 2018, the Company entered into a credit agreement with certain lenders that provided for a $350.0 million term loan and a $350.0 million revolving loan (together with the term loa</w:t>
      </w:r>
      <w:r>
        <w:rPr>
          <w:rFonts w:ascii="Times New Roman;sans-serif" w:hAnsi="Times New Roman;sans-serif"/>
          <w:b w:val="false"/>
          <w:color w:val="000000"/>
          <w:sz w:val="20"/>
          <w:shd w:fill="FFFFFF" w:val="clear"/>
        </w:rPr>
        <w:t>n, as amended from time to time, the “2018 Credit Facilities”) that were each scheduled to mature on June 15,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26, 2022, the Company entered into an amended and restated credit agreement with certain lenders to refinance the 2018 Credit Facilities and extend their maturity date through June 2025. The amended and restated credit agreement provides for a $280.0 million senior unsecured term loan, the proceeds of which have been used to settle the balance of the term loan under the 2018 Credit Facilities, and a $420.0 million senior unsecured revolving credit facility (together, the “Revised Credit Facilities”).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applied modification accounting for the credit facility refinancing. For the term loan under the Revised Credit Facilities, for fiscal 2023, the Company recognized interest expense of $0.5 million for third party fees incurred and capitalized $0.2 million of lender fees related to the term loan. For fiscal 2023, the Company capitalized </w:t>
      </w:r>
      <w:r>
        <w:rPr>
          <w:rFonts w:ascii="Times New Roman;sans-serif" w:hAnsi="Times New Roman;sans-serif"/>
          <w:b w:val="false"/>
          <w:color w:val="000000"/>
          <w:sz w:val="20"/>
        </w:rPr>
        <w:t>$1.1 million</w:t>
      </w:r>
      <w:r>
        <w:rPr>
          <w:color w:val="000000"/>
          <w:shd w:fill="FFFFFF" w:val="clear"/>
        </w:rPr>
        <w:t xml:space="preserve"> </w:t>
      </w:r>
      <w:r>
        <w:rPr>
          <w:rFonts w:ascii="Times New Roman;sans-serif" w:hAnsi="Times New Roman;sans-serif"/>
          <w:b w:val="false"/>
          <w:color w:val="000000"/>
          <w:sz w:val="20"/>
          <w:shd w:fill="FFFFFF" w:val="clear"/>
        </w:rPr>
        <w:t>of lender fees and third-party costs incurred in the refinancing related to the revolving credit facility under the Revised Credit Facilities.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July 1, 2023, $273.0 million was outstanding under the term loan with an effective interest rate of 6.6%. The Company has scheduled principal payments of $14.0 million required during the 12 months following July 1, 2023. There were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revolving credit facility at July 1, 2023. The Company also had $19.6 million of uncommitted operating lines of credit to fund its global operations under which there were no outstanding borrowings as of July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leverage and interest coverage ratios specified in the Revised Credit Facilities as well as all other bank covenants as of July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FINANCIAL INSTRUMENTS AND FAIR VALUE MEASUREMENTS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markets and sells its products globally. During the three months ended July 1, 2023, 23.9% of the Company’s sales were generated outside the U.S. in local currencies. The Company also incurs certain manufacturing, marketing and selling costs in international markets in local currency.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and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Designated Foreign Currency Hedge Contracts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All of the Company’s designated foreign currency hedge contracts as of July 1, 2023 and April 1, 2023 were cash flow hedges under ASC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$32.3 million as of July 1, 2023 and $51.8 million as of April 1, 2023. At July 1, 2023, a gain of $1.4 million, net of tax, will be reclassified to earnings within the next twelve months. Substantially all currency cash flow hedges outstanding as of July 1, 2023 mature within twelve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Non-Designated Foreign Currency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$31.2 million as of July 1, 2023 and $44.7 million as of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Swaps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15, 2018, the Company entered into the 2018 Credit Facilities, which provided for a $350.0 million term loan and a $350.0 million revolving credit facility. In August 2018, the Company entered into two interest rate swap agreements to pay an average fixed rate of 2.80% plus the applicable rate on a total notional value of $241.9 million of debt, or 70% of the notional value of the unsecured term loan. As a result of the Company’s refinancing of the 2018 Credit Facilities in July 2022, as discussed below, the 2018 interest rate swaps were amended in September 2022 to align with the Term Secured Overnight Financing Rate (“SOFR”) rate rather than LIBOR (the “Amended Swaps”). In order to avoid dedesignation, the Company elected certain practical expedients under ASC 848. As a result, the Company’s earnings and cash flows are exposed to interest rate risk from changes to SOFR. The Amended Swaps matured on June 15,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26, 2022, the Company entered into an amended and restated credit agreement to refinance the 2018 Credit Facilities and extend their maturity date through June 2025. The Revised Credit Facilities include a $280.0 million senior unsecured term loan and a $420.0 million senior unsecured revolving credit facility. Loans under the Revised Credit Facilities bear interest at an annual rate equal to the 1-month USD Term SOFR plus 0.10% and an applicable rate ranging from 1.125% to 1.750% based on the Company’s consolidated net leverage ratio. In September 2022, the Company entered into four additional interest rate swaps, which when combined with the Amended Swaps, resulted in an average blended fixed interest rate of 3.57% plus the applicable rate on 70% of the notional value of the unsecured term loan until mid-June 2023 and 4.12% plus the applicable rate thereafter on 80% of the notional value until the maturity date in June 2025. On June 15, 2023, two of the Company’s interest rate swaps entered into during September 2022 matured concurrently with the Amended Swaps. The Company has concluded that the two remaining interest rate swaps entered into during September 2022, which cover 80% of the notional value of the unsecured term loan through maturity in June 2025, are effective and qualify for hedge accounting treatment.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held the following interest rate swaps as of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3"/>
        <w:gridCol w:w="256"/>
        <w:gridCol w:w="243"/>
        <w:gridCol w:w="109"/>
        <w:gridCol w:w="109"/>
        <w:gridCol w:w="109"/>
        <w:gridCol w:w="219"/>
        <w:gridCol w:w="861"/>
        <w:gridCol w:w="113"/>
        <w:gridCol w:w="109"/>
        <w:gridCol w:w="109"/>
        <w:gridCol w:w="109"/>
        <w:gridCol w:w="226"/>
        <w:gridCol w:w="888"/>
        <w:gridCol w:w="117"/>
        <w:gridCol w:w="109"/>
        <w:gridCol w:w="109"/>
        <w:gridCol w:w="109"/>
        <w:gridCol w:w="327"/>
        <w:gridCol w:w="327"/>
        <w:gridCol w:w="328"/>
        <w:gridCol w:w="109"/>
        <w:gridCol w:w="109"/>
        <w:gridCol w:w="109"/>
        <w:gridCol w:w="257"/>
        <w:gridCol w:w="257"/>
        <w:gridCol w:w="258"/>
        <w:gridCol w:w="109"/>
        <w:gridCol w:w="109"/>
        <w:gridCol w:w="109"/>
        <w:gridCol w:w="342"/>
        <w:gridCol w:w="342"/>
        <w:gridCol w:w="343"/>
        <w:gridCol w:w="109"/>
        <w:gridCol w:w="109"/>
        <w:gridCol w:w="109"/>
        <w:gridCol w:w="235"/>
        <w:gridCol w:w="235"/>
        <w:gridCol w:w="236"/>
        <w:gridCol w:w="109"/>
        <w:gridCol w:w="109"/>
        <w:gridCol w:w="109"/>
        <w:gridCol w:w="235"/>
        <w:gridCol w:w="687"/>
        <w:gridCol w:w="181"/>
      </w:tblGrid>
      <w:tr>
        <w:trPr/>
        <w:tc>
          <w:tcPr>
            <w:tcW w:w="4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 Amount as of July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Assets (Liabilities)</w:t>
            </w:r>
          </w:p>
        </w:tc>
      </w:tr>
      <w:tr>
        <w:trPr/>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For the three months ended July 1, 2023, the Company recorded a gain of </w:t>
      </w:r>
      <w:r>
        <w:rPr>
          <w:rFonts w:ascii="Times New Roman;sans-serif" w:hAnsi="Times New Roman;sans-serif"/>
          <w:b w:val="false"/>
          <w:color w:val="000000"/>
          <w:sz w:val="20"/>
        </w:rPr>
        <w:t>$2.8 million</w:t>
      </w:r>
      <w:r>
        <w:rPr>
          <w:rFonts w:ascii="Times New Roman;sans-serif" w:hAnsi="Times New Roman;sans-serif"/>
          <w:b w:val="false"/>
          <w:color w:val="000000"/>
          <w:sz w:val="20"/>
          <w:shd w:fill="FFFFFF" w:val="clear"/>
        </w:rPr>
        <w:t>, net of tax, in accumulated other comprehensive loss to recognize the effective portion of the fair value of the swaps that qualify as cash flow hedges.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Trade Receivables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w:t>
      </w:r>
      <w:r>
        <w:rPr>
          <w:rFonts w:ascii="Times New Roman;sans-serif" w:hAnsi="Times New Roman;sans-serif"/>
          <w:b w:val="false"/>
          <w:color w:val="000000"/>
          <w:sz w:val="20"/>
          <w:shd w:fill="FFFFFF" w:val="clear"/>
        </w:rPr>
        <w:t>rvices. To date, the Company has not experienced significant customer payment defaults, or identified other significant collectability concerns.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allowance for credit losses:</w:t>
      </w:r>
    </w:p>
    <w:p>
      <w:pPr>
        <w:pStyle w:val="TextBody"/>
        <w:bidi w:val="0"/>
        <w:spacing w:before="0" w:after="0"/>
        <w:jc w:val="left"/>
        <w:rPr/>
      </w:pPr>
      <w:r>
        <w:rPr/>
      </w:r>
    </w:p>
    <w:tbl>
      <w:tblPr>
        <w:tblW w:w="4513" w:type="dxa"/>
        <w:jc w:val="left"/>
        <w:tblInd w:w="0" w:type="dxa"/>
        <w:tblLayout w:type="fixed"/>
        <w:tblCellMar>
          <w:top w:w="28" w:type="dxa"/>
          <w:left w:w="28" w:type="dxa"/>
          <w:bottom w:w="28" w:type="dxa"/>
          <w:right w:w="28" w:type="dxa"/>
        </w:tblCellMar>
      </w:tblPr>
      <w:tblGrid>
        <w:gridCol w:w="614"/>
        <w:gridCol w:w="540"/>
        <w:gridCol w:w="541"/>
        <w:gridCol w:w="223"/>
        <w:gridCol w:w="667"/>
        <w:gridCol w:w="115"/>
        <w:gridCol w:w="109"/>
        <w:gridCol w:w="109"/>
        <w:gridCol w:w="109"/>
        <w:gridCol w:w="223"/>
        <w:gridCol w:w="667"/>
        <w:gridCol w:w="115"/>
        <w:gridCol w:w="109"/>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4,932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Credit loss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5,047</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2,495</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 Inputs to the valuation methodology are quoted market prices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carried at fair value are classified within Level 1 of the fair value hierarchy because they are valued using quoted market prices.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the Company’s derivative instruments designated as cash flow hedges and those not designated as hedging instruments under ASC 815 in its unaudited Condensed Consolidated Statements of Income and Comprehensive Income for the three months ended July 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7"/>
        <w:gridCol w:w="389"/>
        <w:gridCol w:w="391"/>
        <w:gridCol w:w="109"/>
        <w:gridCol w:w="109"/>
        <w:gridCol w:w="109"/>
        <w:gridCol w:w="304"/>
        <w:gridCol w:w="890"/>
        <w:gridCol w:w="158"/>
        <w:gridCol w:w="109"/>
        <w:gridCol w:w="109"/>
        <w:gridCol w:w="109"/>
        <w:gridCol w:w="366"/>
        <w:gridCol w:w="835"/>
        <w:gridCol w:w="189"/>
        <w:gridCol w:w="109"/>
        <w:gridCol w:w="109"/>
        <w:gridCol w:w="109"/>
        <w:gridCol w:w="503"/>
        <w:gridCol w:w="503"/>
        <w:gridCol w:w="504"/>
        <w:gridCol w:w="109"/>
        <w:gridCol w:w="109"/>
        <w:gridCol w:w="109"/>
        <w:gridCol w:w="253"/>
        <w:gridCol w:w="742"/>
        <w:gridCol w:w="132"/>
        <w:gridCol w:w="109"/>
        <w:gridCol w:w="109"/>
        <w:gridCol w:w="109"/>
        <w:gridCol w:w="455"/>
        <w:gridCol w:w="455"/>
        <w:gridCol w:w="654"/>
      </w:tblGrid>
      <w:tr>
        <w:trPr/>
        <w:tc>
          <w:tcPr>
            <w:tcW w:w="8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Recognized</w:t>
              <w:br/>
              <w:t>in 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Reclassified</w:t>
              <w:br/>
              <w:t>from Accumulated Other Comprehensive Loss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w:t>
              <w:br/>
              <w:t>Condensed Consolidated Statements of Income and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Excluded from</w:t>
              <w:br/>
              <w:t>Effectiveness</w:t>
              <w:br/>
              <w:t>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w:t>
              <w:br/>
              <w:t>Condensed Consolidated Statements of Income and Comprehensive Income</w:t>
            </w:r>
          </w:p>
        </w:tc>
      </w:tr>
      <w:tr>
        <w:trPr/>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COGS and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fair value hedges or net investment hedges outstanding as of July 1, 2023 or April 1, 2023. As of July 1, 2023, no material deferred taxes were recognized for designated foreign currency hedges.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July 1, 2023, the Company has classified its derivative assets and liabilities within Level 2 of the fair value hierarchy prescribed by ASC 815, as discussed below, because these observable inputs are available for substantially the full term of its derivative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fair value of the Company’s derivative instruments as they appear in its Condensed Consolidated Balance Sheets as of July 1, 2023 and April 1, 2023:</w:t>
      </w:r>
    </w:p>
    <w:p>
      <w:pPr>
        <w:pStyle w:val="TextBody"/>
        <w:bidi w:val="0"/>
        <w:spacing w:before="0" w:after="0"/>
        <w:jc w:val="left"/>
        <w:rPr/>
      </w:pPr>
      <w:r>
        <w:rPr/>
      </w:r>
    </w:p>
    <w:tbl>
      <w:tblPr>
        <w:tblW w:w="9949" w:type="dxa"/>
        <w:jc w:val="left"/>
        <w:tblInd w:w="0" w:type="dxa"/>
        <w:tblLayout w:type="fixed"/>
        <w:tblCellMar>
          <w:top w:w="28" w:type="dxa"/>
          <w:left w:w="28" w:type="dxa"/>
          <w:bottom w:w="28" w:type="dxa"/>
          <w:right w:w="28" w:type="dxa"/>
        </w:tblCellMar>
      </w:tblPr>
      <w:tblGrid>
        <w:gridCol w:w="1489"/>
        <w:gridCol w:w="1307"/>
        <w:gridCol w:w="1313"/>
        <w:gridCol w:w="109"/>
        <w:gridCol w:w="109"/>
        <w:gridCol w:w="109"/>
        <w:gridCol w:w="914"/>
        <w:gridCol w:w="914"/>
        <w:gridCol w:w="917"/>
        <w:gridCol w:w="109"/>
        <w:gridCol w:w="109"/>
        <w:gridCol w:w="109"/>
        <w:gridCol w:w="223"/>
        <w:gridCol w:w="667"/>
        <w:gridCol w:w="115"/>
        <w:gridCol w:w="109"/>
        <w:gridCol w:w="109"/>
        <w:gridCol w:w="109"/>
        <w:gridCol w:w="235"/>
        <w:gridCol w:w="703"/>
        <w:gridCol w:w="171"/>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Condensed 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1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4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5,161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Measured on a 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measured at fair value on a recurring basis consist of the following as of July 1, 2023 and April 1, 2023.</w:t>
      </w:r>
    </w:p>
    <w:tbl>
      <w:tblPr>
        <w:tblW w:w="9537" w:type="dxa"/>
        <w:jc w:val="left"/>
        <w:tblInd w:w="0" w:type="dxa"/>
        <w:tblLayout w:type="fixed"/>
        <w:tblCellMar>
          <w:top w:w="28" w:type="dxa"/>
          <w:left w:w="28" w:type="dxa"/>
          <w:bottom w:w="28" w:type="dxa"/>
          <w:right w:w="28" w:type="dxa"/>
        </w:tblCellMar>
      </w:tblPr>
      <w:tblGrid>
        <w:gridCol w:w="1489"/>
        <w:gridCol w:w="1308"/>
        <w:gridCol w:w="1313"/>
        <w:gridCol w:w="109"/>
        <w:gridCol w:w="109"/>
        <w:gridCol w:w="109"/>
        <w:gridCol w:w="211"/>
        <w:gridCol w:w="841"/>
        <w:gridCol w:w="109"/>
        <w:gridCol w:w="109"/>
        <w:gridCol w:w="109"/>
        <w:gridCol w:w="109"/>
        <w:gridCol w:w="211"/>
        <w:gridCol w:w="631"/>
        <w:gridCol w:w="109"/>
        <w:gridCol w:w="109"/>
        <w:gridCol w:w="109"/>
        <w:gridCol w:w="109"/>
        <w:gridCol w:w="211"/>
        <w:gridCol w:w="481"/>
        <w:gridCol w:w="109"/>
        <w:gridCol w:w="109"/>
        <w:gridCol w:w="109"/>
        <w:gridCol w:w="109"/>
        <w:gridCol w:w="211"/>
        <w:gridCol w:w="84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July 1, 2023</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125,073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1, 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132,341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135,154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i/>
          <w:color w:val="000000"/>
          <w:sz w:val="20"/>
        </w:rPr>
        <w:t xml:space="preserve">Foreign currency hedge contracts - </w:t>
      </w:r>
      <w:r>
        <w:rPr>
          <w:rFonts w:ascii="Times New Roman;sans-serif" w:hAnsi="Times New Roman;sans-serif"/>
          <w:b w:val="false"/>
          <w:color w:val="000000"/>
          <w:sz w:val="20"/>
        </w:rPr>
        <w:t>The fair value of foreign currency hedge contracts was measured using significant other observable inputs and valued 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Interest rate swaps - </w:t>
      </w:r>
      <w:r>
        <w:rPr>
          <w:rFonts w:ascii="Times New Roman;sans-serif" w:hAnsi="Times New Roman;sans-serif"/>
          <w:b w:val="false"/>
          <w:color w:val="000000"/>
          <w:sz w:val="20"/>
        </w:rPr>
        <w:t>The fair values of interest rate swaps are measured using the present value of expected future cash flows using market-based 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Contingent consideration</w:t>
      </w:r>
      <w:r>
        <w:rPr>
          <w:color w:val="000000"/>
        </w:rPr>
        <w:t xml:space="preserve"> </w:t>
      </w:r>
      <w:r>
        <w:rPr>
          <w:rFonts w:ascii="Times New Roman;sans-serif" w:hAnsi="Times New Roman;sans-serif"/>
          <w:b w:val="false"/>
          <w:color w:val="000000"/>
          <w:sz w:val="20"/>
        </w:rPr>
        <w:t xml:space="preserve">- The fair value of contingent consideration liabilities is based on significant unobservable inputs, including management estimates and assumptions, and is measured based on the probability-weighted present value of the payments expected to be made. Accordingly, the fair value of contingent consideration has been classified as level 3 within the fair </w:t>
      </w:r>
      <w:r>
        <w:rPr>
          <w:rFonts w:ascii="Times New Roman;sans-serif" w:hAnsi="Times New Roman;sans-serif"/>
          <w:b w:val="false"/>
          <w:color w:val="000000"/>
          <w:sz w:val="20"/>
          <w:shd w:fill="FFFFFF" w:val="clear"/>
        </w:rPr>
        <w:t>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Disclosures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Term Loan, which is carried at amortized cost, accounts receivable and accounts payable approximate fa</w:t>
      </w:r>
      <w:r>
        <w:rPr>
          <w:rFonts w:ascii="Times New Roman;sans-serif" w:hAnsi="Times New Roman;sans-serif"/>
          <w:b w:val="false"/>
          <w:color w:val="000000"/>
          <w:sz w:val="20"/>
          <w:shd w:fill="FFFFFF" w:val="clear"/>
        </w:rPr>
        <w:t>ir value. The fair value of the 2026 Notes as of July 1, 2023 was $428.4 million, which was determined by using the market price on the last trading day of the reporting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13. 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sans-serif" w:hAnsi="Times New Roman;sans-serif"/>
          <w:b w:val="false"/>
          <w:i/>
          <w:color w:val="000000"/>
          <w:sz w:val="20"/>
          <w:shd w:fill="FFFFFF" w:val="clear"/>
        </w:rPr>
        <w:t xml:space="preserve">Contingencies, </w:t>
      </w:r>
      <w:r>
        <w:rPr>
          <w:rFonts w:ascii="Times New Roman;sans-serif" w:hAnsi="Times New Roman;sans-serif"/>
          <w:b w:val="false"/>
          <w:color w:val="000000"/>
          <w:sz w:val="20"/>
          <w:shd w:fill="FFFFFF" w:val="clear"/>
        </w:rPr>
        <w:t>for all matters. Legal costs are expensed as incurred.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During the third quarter of fiscal 2021, the Company received a subpoena from the U.S. Attorney’s Office for the District of Massachusetts. The subpoena requested certain documents regarding the Company’s apheresis and autotransfusion devices and disposables, including documents relating to product complaints and adverse event reporting, regulatory clearances and product design changes, among other matters. The Company has fully cooperated with this inquiry. On August 16, 2022, the U.S. Department of Justice (“DOJ”) filed a motion on behalf of the United States and 31 states reflecting their decision to not i</w:t>
      </w:r>
      <w:r>
        <w:rPr>
          <w:rFonts w:ascii="Times New Roman;sans-serif" w:hAnsi="Times New Roman;sans-serif"/>
          <w:b w:val="false"/>
          <w:color w:val="000000"/>
          <w:sz w:val="20"/>
        </w:rPr>
        <w:t xml:space="preserve">ntervene in the underlying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 xml:space="preserve">action captioned </w:t>
      </w:r>
      <w:r>
        <w:rPr>
          <w:rFonts w:ascii="Times New Roman;sans-serif" w:hAnsi="Times New Roman;sans-serif"/>
          <w:b w:val="false"/>
          <w:i/>
          <w:color w:val="000000"/>
          <w:sz w:val="20"/>
        </w:rPr>
        <w:t>United States ex rel. Berthelot et al. v. Haemonetics Corp.,</w:t>
      </w:r>
      <w:r>
        <w:rPr>
          <w:color w:val="000000"/>
        </w:rPr>
        <w:t xml:space="preserve"> </w:t>
      </w:r>
      <w:r>
        <w:rPr>
          <w:rFonts w:ascii="Times New Roman;sans-serif" w:hAnsi="Times New Roman;sans-serif"/>
          <w:b w:val="false"/>
          <w:color w:val="000000"/>
          <w:sz w:val="20"/>
        </w:rPr>
        <w:t>1:20-cv-11062-ADB, pending in the U.S. District Court for the District of Massachusetts, indicating that the DOJ had completed its investigative activity based on then available information. The</w:t>
      </w:r>
      <w:r>
        <w:rPr>
          <w:color w:val="000000"/>
        </w:rPr>
        <w:t xml:space="preserve">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case was unsealed by order dated August 18, 2022. During the first quarter of fiscal 2024, the Company recorded an additional loss contingency related to this matter, which did not have a material impact on its condensed consolidated financial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 the fourth quarter of fiscal 2021, a putative class action complaint was filed against the Company in the Circuit Court of Cook County, Illinois by Mary Crumpton, on behalf of herself and similarly situated individuals. See </w:t>
      </w:r>
      <w:r>
        <w:rPr>
          <w:rFonts w:ascii="Times New Roman;sans-serif" w:hAnsi="Times New Roman;sans-serif"/>
          <w:b w:val="false"/>
          <w:i/>
          <w:color w:val="000000"/>
          <w:sz w:val="20"/>
        </w:rPr>
        <w:t>Mary Crumpton v. Haemonetics Corporation, Case No. 1:21-cv-1402</w:t>
      </w:r>
      <w:r>
        <w:rPr>
          <w:rFonts w:ascii="Times New Roman;sans-serif" w:hAnsi="Times New Roman;sans-serif"/>
          <w:b w:val="false"/>
          <w:color w:val="000000"/>
          <w:sz w:val="20"/>
        </w:rPr>
        <w:t>. In her complaint, the plaintiff asserts that between June 2017 and August 2018 she donated plasma at a center operated by one of the Company’s customers, that the center required her to scan her finger print in a scanner that stored her finger 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failure to state a claim and a motion to stay. In March 2022, the court denied the Company’s motion to dismiss for lack of personal jurisdiction but did not address the merits of the Company’s other positions. In March 2023, the Company filed a second motion to dismiss the complaint, which is pending before the court. The Company believes it has valid and meritorious defenses to the complaint. During the first quarter of fiscal 2024, the Company recorded an additional loss contingency related to this matter, which did not have a material impact on its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14. ACCUMULATED OTHER COMPREHENSIVE LOSS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are as follows:</w:t>
      </w:r>
    </w:p>
    <w:tbl>
      <w:tblPr>
        <w:tblW w:w="10205" w:type="dxa"/>
        <w:jc w:val="center"/>
        <w:tblInd w:w="0" w:type="dxa"/>
        <w:tblLayout w:type="fixed"/>
        <w:tblCellMar>
          <w:top w:w="28" w:type="dxa"/>
          <w:left w:w="28" w:type="dxa"/>
          <w:bottom w:w="28" w:type="dxa"/>
          <w:right w:w="28" w:type="dxa"/>
        </w:tblCellMar>
      </w:tblPr>
      <w:tblGrid>
        <w:gridCol w:w="1416"/>
        <w:gridCol w:w="1005"/>
        <w:gridCol w:w="965"/>
        <w:gridCol w:w="109"/>
        <w:gridCol w:w="109"/>
        <w:gridCol w:w="109"/>
        <w:gridCol w:w="234"/>
        <w:gridCol w:w="853"/>
        <w:gridCol w:w="121"/>
        <w:gridCol w:w="109"/>
        <w:gridCol w:w="109"/>
        <w:gridCol w:w="109"/>
        <w:gridCol w:w="278"/>
        <w:gridCol w:w="833"/>
        <w:gridCol w:w="143"/>
        <w:gridCol w:w="109"/>
        <w:gridCol w:w="109"/>
        <w:gridCol w:w="109"/>
        <w:gridCol w:w="425"/>
        <w:gridCol w:w="1271"/>
        <w:gridCol w:w="219"/>
        <w:gridCol w:w="109"/>
        <w:gridCol w:w="109"/>
        <w:gridCol w:w="109"/>
        <w:gridCol w:w="211"/>
        <w:gridCol w:w="762"/>
        <w:gridCol w:w="161"/>
      </w:tblGrid>
      <w:tr>
        <w:trPr/>
        <w:tc>
          <w:tcPr>
            <w:tcW w:w="141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(33,935)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4,075</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(30,381)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income (loss) before reclassifications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income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July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(36,736)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4,075</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3,143</w:t>
            </w: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(29,518)</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Presented net of income taxes, the amounts of which are insignificant.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15. SEGMENT AND ENTERPRISE-WIDE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reportable and operating segments are as follows: </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Plasma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Blood Center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Hospital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amortization of acquired intangible assets, restructuring costs, restructuring related costs, digital transformation costs related to the upgrade of our enterprise resource planning system, impairments, accelerated device depreciation and related costs, costs related to compliance with the European Union Medical Device Regulation (“MDR”) and In Vitro Diagnostic Regulation (“IVDR”) and unusual or infrequent and material litigation-related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information by reportable segment is presented below:</w:t>
      </w:r>
    </w:p>
    <w:tbl>
      <w:tblPr>
        <w:tblW w:w="5694" w:type="dxa"/>
        <w:jc w:val="center"/>
        <w:tblInd w:w="0" w:type="dxa"/>
        <w:tblLayout w:type="fixed"/>
        <w:tblCellMar>
          <w:top w:w="28" w:type="dxa"/>
          <w:left w:w="28" w:type="dxa"/>
          <w:bottom w:w="28" w:type="dxa"/>
          <w:right w:w="28" w:type="dxa"/>
        </w:tblCellMar>
      </w:tblPr>
      <w:tblGrid>
        <w:gridCol w:w="932"/>
        <w:gridCol w:w="815"/>
        <w:gridCol w:w="817"/>
        <w:gridCol w:w="211"/>
        <w:gridCol w:w="841"/>
        <w:gridCol w:w="109"/>
        <w:gridCol w:w="109"/>
        <w:gridCol w:w="109"/>
        <w:gridCol w:w="109"/>
        <w:gridCol w:w="211"/>
        <w:gridCol w:w="841"/>
        <w:gridCol w:w="109"/>
        <w:gridCol w:w="109"/>
        <w:gridCol w:w="109"/>
        <w:gridCol w:w="109"/>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Service </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311,332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261,458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3"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Reflects revenue for service, maintenance and parts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89"/>
        <w:gridCol w:w="1672"/>
        <w:gridCol w:w="1677"/>
        <w:gridCol w:w="353"/>
        <w:gridCol w:w="1233"/>
        <w:gridCol w:w="182"/>
        <w:gridCol w:w="182"/>
        <w:gridCol w:w="182"/>
        <w:gridCol w:w="182"/>
        <w:gridCol w:w="353"/>
        <w:gridCol w:w="1233"/>
        <w:gridCol w:w="182"/>
        <w:gridCol w:w="109"/>
        <w:gridCol w:w="109"/>
        <w:gridCol w:w="109"/>
        <w:gridCol w:w="158"/>
      </w:tblGrid>
      <w:tr>
        <w:trPr/>
        <w:tc>
          <w:tcPr>
            <w:tcW w:w="228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Corporate expenses </w:t>
            </w:r>
            <w:r>
              <w:rPr>
                <w:rFonts w:ascii="Times New Roman;sans-serif" w:hAnsi="Times New Roman;sans-serif"/>
                <w:b w:val="false"/>
                <w:color w:val="000000"/>
                <w:sz w:val="13"/>
              </w:rPr>
              <w:t>(1)</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rates</w:t>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Integration and transaction costs</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acquired intangible assets</w:t>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costs</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related costs</w:t>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Digital transformation costs</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Impairment of assets and PCS2 related charges</w:t>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MDR and IVDR costs</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Litigation-related charges</w:t>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53,659</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30,767</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Reflects shared service expenses including quality and regulatory, customer and field service, research and development, manufacturing and supply chain, as well as other corporate support functions.</w:t>
            </w:r>
          </w:p>
        </w:tc>
        <w:tc>
          <w:tcPr>
            <w:tcW w:w="485"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by business unit are as follows:</w:t>
      </w:r>
    </w:p>
    <w:tbl>
      <w:tblPr>
        <w:tblW w:w="7643" w:type="dxa"/>
        <w:jc w:val="left"/>
        <w:tblInd w:w="0" w:type="dxa"/>
        <w:tblLayout w:type="fixed"/>
        <w:tblCellMar>
          <w:top w:w="28" w:type="dxa"/>
          <w:left w:w="28" w:type="dxa"/>
          <w:bottom w:w="28" w:type="dxa"/>
          <w:right w:w="28" w:type="dxa"/>
        </w:tblCellMar>
      </w:tblPr>
      <w:tblGrid>
        <w:gridCol w:w="298"/>
        <w:gridCol w:w="261"/>
        <w:gridCol w:w="261"/>
        <w:gridCol w:w="995"/>
        <w:gridCol w:w="995"/>
        <w:gridCol w:w="1023"/>
        <w:gridCol w:w="298"/>
        <w:gridCol w:w="1190"/>
        <w:gridCol w:w="154"/>
        <w:gridCol w:w="154"/>
        <w:gridCol w:w="154"/>
        <w:gridCol w:w="154"/>
        <w:gridCol w:w="298"/>
        <w:gridCol w:w="1190"/>
        <w:gridCol w:w="218"/>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138,610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102,381</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67,340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65,694</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Vascular Closure</w:t>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99,608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88,494</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business unit revenues</w:t>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305,558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256,569</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311,332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261,458</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43"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Other includes the Cell Salvage and Transfusion Management product lines of the Hospital business unit.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generated in the Company’s principle operating regions on a reported basis are as follows:</w:t>
      </w:r>
    </w:p>
    <w:tbl>
      <w:tblPr>
        <w:tblW w:w="4330" w:type="dxa"/>
        <w:jc w:val="left"/>
        <w:tblInd w:w="0" w:type="dxa"/>
        <w:tblLayout w:type="fixed"/>
        <w:tblCellMar>
          <w:top w:w="28" w:type="dxa"/>
          <w:left w:w="28" w:type="dxa"/>
          <w:bottom w:w="28" w:type="dxa"/>
          <w:right w:w="28" w:type="dxa"/>
        </w:tblCellMar>
      </w:tblPr>
      <w:tblGrid>
        <w:gridCol w:w="435"/>
        <w:gridCol w:w="382"/>
        <w:gridCol w:w="383"/>
        <w:gridCol w:w="211"/>
        <w:gridCol w:w="841"/>
        <w:gridCol w:w="109"/>
        <w:gridCol w:w="109"/>
        <w:gridCol w:w="109"/>
        <w:gridCol w:w="109"/>
        <w:gridCol w:w="211"/>
        <w:gridCol w:w="841"/>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311,332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261,458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1, 2023. The following discussion may contain forward-looking statements and should be read in conjunction with the “Cautionary Statement Regarding Forward-Looking Information” in this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Vascular </w:t>
      </w:r>
      <w:r>
        <w:rPr>
          <w:rFonts w:ascii="Times New Roman;sans-serif" w:hAnsi="Times New Roman;sans-serif"/>
          <w:b w:val="false"/>
          <w:color w:val="000000"/>
          <w:sz w:val="20"/>
          <w:shd w:fill="FFFFFF" w:val="clear"/>
        </w:rPr>
        <w:t>Closure, Cell Salvage and Transfusion Management products, inclu</w:t>
      </w:r>
      <w:r>
        <w:rPr>
          <w:rFonts w:ascii="Times New Roman;sans-serif" w:hAnsi="Times New Roman;sans-serif"/>
          <w:b w:val="false"/>
          <w:color w:val="000000"/>
          <w:sz w:val="20"/>
        </w:rPr>
        <w:t>des devices and methodologies for measuring coagulation characteristics of blood, vascular closure devices, specialized blood cell processing systems and disposables, surgical blood salvage systems and blood transfusion management software.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believe that Plasma and Hospital have growth potential, while Blood Center competes in challenging markets that require us to manage the business differently, including reducing costs, shrinking the scope of the current product line, and evaluating opport</w:t>
      </w:r>
      <w:r>
        <w:rPr>
          <w:rFonts w:ascii="Times New Roman;sans-serif" w:hAnsi="Times New Roman;sans-serif"/>
          <w:b w:val="false"/>
          <w:color w:val="000000"/>
          <w:sz w:val="20"/>
          <w:shd w:fill="FFFFFF" w:val="clear"/>
        </w:rPr>
        <w:t>unities to exit unfavorable customer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Summary</w:t>
      </w:r>
    </w:p>
    <w:tbl>
      <w:tblPr>
        <w:tblW w:w="9368" w:type="dxa"/>
        <w:jc w:val="left"/>
        <w:tblInd w:w="0" w:type="dxa"/>
        <w:tblLayout w:type="fixed"/>
        <w:tblCellMar>
          <w:top w:w="28" w:type="dxa"/>
          <w:left w:w="28" w:type="dxa"/>
          <w:bottom w:w="28" w:type="dxa"/>
          <w:right w:w="28" w:type="dxa"/>
        </w:tblCellMar>
      </w:tblPr>
      <w:tblGrid>
        <w:gridCol w:w="1313"/>
        <w:gridCol w:w="1154"/>
        <w:gridCol w:w="1162"/>
        <w:gridCol w:w="211"/>
        <w:gridCol w:w="826"/>
        <w:gridCol w:w="271"/>
        <w:gridCol w:w="109"/>
        <w:gridCol w:w="109"/>
        <w:gridCol w:w="109"/>
        <w:gridCol w:w="211"/>
        <w:gridCol w:w="826"/>
        <w:gridCol w:w="271"/>
        <w:gridCol w:w="109"/>
        <w:gridCol w:w="109"/>
        <w:gridCol w:w="109"/>
        <w:gridCol w:w="394"/>
        <w:gridCol w:w="394"/>
        <w:gridCol w:w="982"/>
        <w:gridCol w:w="109"/>
        <w:gridCol w:w="109"/>
        <w:gridCol w:w="109"/>
        <w:gridCol w:w="109"/>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19.1 </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17.6 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74.4 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(60.8)</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102.4 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87.8 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pre-tax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106.5 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107.7 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110.5 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Net revenue</w:t>
      </w:r>
      <w:r>
        <w:rPr>
          <w:rFonts w:ascii="Times New Roman;sans-serif" w:hAnsi="Times New Roman;sans-serif"/>
          <w:b w:val="false"/>
          <w:color w:val="000000"/>
          <w:sz w:val="20"/>
        </w:rPr>
        <w:t xml:space="preserve">s increased </w:t>
      </w:r>
      <w:r>
        <w:rPr>
          <w:rFonts w:ascii="Times New Roman;sans-serif" w:hAnsi="Times New Roman;sans-serif"/>
          <w:b w:val="false"/>
          <w:color w:val="000000"/>
          <w:sz w:val="20"/>
          <w:shd w:fill="FFFFFF" w:val="clear"/>
        </w:rPr>
        <w:t>19.1% during the three months ended July 1, 2023 as compared with the same period of fiscal 2023. Without the effects of foreign exchange, net revenues</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20.5% during the three months ended July 1, 2023 as compared with the same period of fiscal 2023.</w:t>
      </w:r>
      <w:r>
        <w:rPr>
          <w:color w:val="000000"/>
        </w:rPr>
        <w:t xml:space="preserve"> </w:t>
      </w:r>
      <w:r>
        <w:rPr>
          <w:rFonts w:ascii="Times New Roman;sans-serif" w:hAnsi="Times New Roman;sans-serif"/>
          <w:b w:val="false"/>
          <w:color w:val="000000"/>
          <w:sz w:val="20"/>
        </w:rPr>
        <w:t xml:space="preserve">Revenue increases in our Plasma and Hospital businesses, primarily related to volume and price benefits, drove the overall increase in revenue during the three months ended July 1,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Operating income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 xml:space="preserve">74.4% during the three months ended July 1, 2023 as compared with the same period of fiscal </w:t>
      </w:r>
      <w:r>
        <w:rPr>
          <w:rFonts w:ascii="Times New Roman;sans-serif" w:hAnsi="Times New Roman;sans-serif"/>
          <w:b w:val="false"/>
          <w:color w:val="000000"/>
          <w:sz w:val="20"/>
        </w:rPr>
        <w:t>2023, primarily due to increased revenues in Plasma and Hospital, partially offset by continuous growth investments, the impact of foreign exchange, digital transformation costs related to the upgrade of our enterprise resource planning system and increased depreciation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Use of Non-GAAP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Net Revenues by Geography</w:t>
      </w:r>
    </w:p>
    <w:tbl>
      <w:tblPr>
        <w:tblW w:w="10205" w:type="dxa"/>
        <w:jc w:val="left"/>
        <w:tblInd w:w="0" w:type="dxa"/>
        <w:tblLayout w:type="fixed"/>
        <w:tblCellMar>
          <w:top w:w="28" w:type="dxa"/>
          <w:left w:w="28" w:type="dxa"/>
          <w:bottom w:w="28" w:type="dxa"/>
          <w:right w:w="28" w:type="dxa"/>
        </w:tblCellMar>
      </w:tblPr>
      <w:tblGrid>
        <w:gridCol w:w="504"/>
        <w:gridCol w:w="443"/>
        <w:gridCol w:w="424"/>
        <w:gridCol w:w="126"/>
        <w:gridCol w:w="126"/>
        <w:gridCol w:w="126"/>
        <w:gridCol w:w="244"/>
        <w:gridCol w:w="958"/>
        <w:gridCol w:w="126"/>
        <w:gridCol w:w="126"/>
        <w:gridCol w:w="126"/>
        <w:gridCol w:w="126"/>
        <w:gridCol w:w="244"/>
        <w:gridCol w:w="958"/>
        <w:gridCol w:w="126"/>
        <w:gridCol w:w="126"/>
        <w:gridCol w:w="126"/>
        <w:gridCol w:w="126"/>
        <w:gridCol w:w="348"/>
        <w:gridCol w:w="287"/>
        <w:gridCol w:w="654"/>
        <w:gridCol w:w="126"/>
        <w:gridCol w:w="126"/>
        <w:gridCol w:w="126"/>
        <w:gridCol w:w="308"/>
        <w:gridCol w:w="263"/>
        <w:gridCol w:w="657"/>
        <w:gridCol w:w="126"/>
        <w:gridCol w:w="126"/>
        <w:gridCol w:w="126"/>
        <w:gridCol w:w="454"/>
        <w:gridCol w:w="332"/>
        <w:gridCol w:w="985"/>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color w:val="000000"/>
              </w:rPr>
              <w:t xml:space="preserve"> </w:t>
            </w:r>
            <w:r>
              <w:rPr>
                <w:rFonts w:ascii="Times New Roman;sans-serif" w:hAnsi="Times New Roman;sans-serif"/>
                <w:b/>
                <w:color w:val="000000"/>
                <w:sz w:val="10"/>
              </w:rPr>
              <w:t>(1)</w:t>
            </w:r>
          </w:p>
        </w:tc>
      </w:tr>
      <w:tr>
        <w:trPr/>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311,332 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261,458 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Constant currency growth, a non-GAAP financial measure, measures the change in revenue between the current and prior year periods using a constant currency. See “</w:t>
            </w:r>
            <w:r>
              <w:rPr>
                <w:rFonts w:ascii="Times New Roman;sans-serif" w:hAnsi="Times New Roman;sans-serif"/>
                <w:b w:val="false"/>
                <w:i/>
                <w:color w:val="000000"/>
                <w:sz w:val="16"/>
              </w:rPr>
              <w:t>Management’s Use of Non-GAAP Measures.</w:t>
            </w:r>
            <w:r>
              <w:rPr>
                <w:color w:val="000000"/>
              </w:rPr>
              <w:t>”</w:t>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7128" w:type="dxa"/>
            <w:gridSpan w:val="24"/>
            <w:tcBorders/>
          </w:tcPr>
          <w:p>
            <w:pPr>
              <w:pStyle w:val="TableContents"/>
              <w:bidi w:val="0"/>
              <w:spacing w:before="0" w:after="283"/>
              <w:jc w:val="left"/>
              <w:rPr>
                <w:sz w:val="4"/>
                <w:szCs w:val="4"/>
              </w:rPr>
            </w:pPr>
            <w:r>
              <w:rPr>
                <w:sz w:val="4"/>
                <w:szCs w:val="4"/>
              </w:rPr>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8834"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principal operations are in the United States, Europe, Japan and other parts of Asia. Our products are marketed in approximately 90 countries around the world through a combination of our direct sales force and independent distributors and agents. During the three months ended July 1, 2023 our revenue generated outside the U.S. was 23.9% of total net revenues as compared with 30.4% during the three months ended July 2, 2022. 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on certain foreign currencies to mitigate our exposure to foreign currency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Please see the section entitled “Foreign Exchange” in this discussion for a more complete explanation of how foreign currency affects our business and our strategy for managing this exposure.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bl>
      <w:tblPr>
        <w:tblW w:w="10205" w:type="dxa"/>
        <w:jc w:val="left"/>
        <w:tblInd w:w="0" w:type="dxa"/>
        <w:tblLayout w:type="fixed"/>
        <w:tblCellMar>
          <w:top w:w="28" w:type="dxa"/>
          <w:left w:w="28" w:type="dxa"/>
          <w:bottom w:w="28" w:type="dxa"/>
          <w:right w:w="28" w:type="dxa"/>
        </w:tblCellMar>
      </w:tblPr>
      <w:tblGrid>
        <w:gridCol w:w="662"/>
        <w:gridCol w:w="580"/>
        <w:gridCol w:w="542"/>
        <w:gridCol w:w="120"/>
        <w:gridCol w:w="120"/>
        <w:gridCol w:w="120"/>
        <w:gridCol w:w="233"/>
        <w:gridCol w:w="933"/>
        <w:gridCol w:w="120"/>
        <w:gridCol w:w="120"/>
        <w:gridCol w:w="120"/>
        <w:gridCol w:w="120"/>
        <w:gridCol w:w="233"/>
        <w:gridCol w:w="933"/>
        <w:gridCol w:w="120"/>
        <w:gridCol w:w="120"/>
        <w:gridCol w:w="120"/>
        <w:gridCol w:w="120"/>
        <w:gridCol w:w="313"/>
        <w:gridCol w:w="286"/>
        <w:gridCol w:w="640"/>
        <w:gridCol w:w="120"/>
        <w:gridCol w:w="120"/>
        <w:gridCol w:w="120"/>
        <w:gridCol w:w="292"/>
        <w:gridCol w:w="232"/>
        <w:gridCol w:w="643"/>
        <w:gridCol w:w="120"/>
        <w:gridCol w:w="120"/>
        <w:gridCol w:w="120"/>
        <w:gridCol w:w="431"/>
        <w:gridCol w:w="283"/>
        <w:gridCol w:w="929"/>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rFonts w:ascii="Times New Roman;sans-serif" w:hAnsi="Times New Roman;sans-serif"/>
                <w:b/>
                <w:color w:val="000000"/>
                <w:sz w:val="10"/>
              </w:rPr>
              <w:t>(1)</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138,610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102,381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w:t>
            </w:r>
            <w:r>
              <w:rPr>
                <w:color w:val="000000"/>
              </w:rPr>
              <w:t> </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67,340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65,694</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w:t>
            </w: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w:t>
            </w:r>
            <w:r>
              <w:rPr>
                <w:color w:val="000000"/>
              </w:rPr>
              <w:t>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Vascular Closure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99,608</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88,494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w:t>
            </w: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w:t>
            </w:r>
            <w:r>
              <w:rPr>
                <w:color w:val="000000"/>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business unit revenues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305,558</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256,569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w:t>
            </w: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w:t>
            </w:r>
            <w:r>
              <w:rPr>
                <w:color w:val="000000"/>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311,332</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261,458</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w:t>
            </w: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w:t>
            </w:r>
            <w:r>
              <w:rPr>
                <w:color w:val="000000"/>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shd w:fill="FFFFFF" w:val="clear"/>
              </w:rPr>
              <w:t xml:space="preserve">(1) </w:t>
            </w:r>
            <w:r>
              <w:rPr>
                <w:rFonts w:ascii="Times New Roman;sans-serif" w:hAnsi="Times New Roman;sans-serif"/>
                <w:b w:val="false"/>
                <w:color w:val="000000"/>
                <w:sz w:val="16"/>
                <w:shd w:fill="FFFFFF" w:val="clear"/>
              </w:rPr>
              <w:t>Constant currency growth, a non-GAAP financial measure, measures the change in revenue between the current and prior year periods using a constant currency. See “</w:t>
            </w:r>
            <w:r>
              <w:rPr>
                <w:rFonts w:ascii="Times New Roman;sans-serif" w:hAnsi="Times New Roman;sans-serif"/>
                <w:b w:val="false"/>
                <w:i/>
                <w:color w:val="000000"/>
                <w:sz w:val="16"/>
                <w:shd w:fill="FFFFFF" w:val="clear"/>
              </w:rPr>
              <w:t>Management’s Use of Non-GAAP Measures.</w:t>
            </w:r>
            <w:r>
              <w:rPr>
                <w:color w:val="000000"/>
                <w:shd w:fill="FFFFFF" w:val="clear"/>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shd w:fill="FFFFFF" w:val="clear"/>
              </w:rPr>
              <w:t xml:space="preserve">(2) </w:t>
            </w:r>
            <w:r>
              <w:rPr>
                <w:rFonts w:ascii="Times New Roman;sans-serif" w:hAnsi="Times New Roman;sans-serif"/>
                <w:b w:val="false"/>
                <w:color w:val="000000"/>
                <w:sz w:val="16"/>
                <w:shd w:fill="FFFFFF" w:val="clear"/>
              </w:rPr>
              <w:t xml:space="preserve">Other includes the Cell Salvage and Transfusion Management product lines of the Hospital business unit. </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6775" w:type="dxa"/>
            <w:gridSpan w:val="24"/>
            <w:tcBorders/>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8421" w:type="dxa"/>
            <w:gridSpan w:val="30"/>
            <w:tcBorders/>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8421"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Plasma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Plasma revenue</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35.4% during the three months ended July 1, 2023 as compared with the same period of fiscal 2023. Without the effects of foreign exchange, Plasma revenue increased 35.5% during the three months ended July 1, 2023 as compared with the same period of fiscal 2023. The increase during the three months ended July 1, 2023 was primarily driven by volume and price.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2023, we amended our supply agreement with CSL, which was scheduled to expire in December 2023, to extend the term through December 2025. CSL has a minimum purchase commitment under the non-exclusive supply agreement that slightly exceeds $100.0 million in fiscal 2024, and we expect that CSL will continue to provide a meaningful contribution to our Plasma business revenue in fiscal 2025.</w:t>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Blood Center</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Blood Center revenu</w:t>
      </w:r>
      <w:r>
        <w:rPr>
          <w:rFonts w:ascii="Times New Roman;sans-serif" w:hAnsi="Times New Roman;sans-serif"/>
          <w:b w:val="false"/>
          <w:color w:val="000000"/>
          <w:sz w:val="20"/>
        </w:rPr>
        <w:t>e increased</w:t>
      </w:r>
      <w:r>
        <w:rPr>
          <w:color w:val="000000"/>
          <w:shd w:fill="FFFFFF" w:val="clear"/>
        </w:rPr>
        <w:t xml:space="preserve"> </w:t>
      </w:r>
      <w:r>
        <w:rPr>
          <w:rFonts w:ascii="Times New Roman;sans-serif" w:hAnsi="Times New Roman;sans-serif"/>
          <w:b w:val="false"/>
          <w:color w:val="000000"/>
          <w:sz w:val="20"/>
          <w:shd w:fill="FFFFFF" w:val="clear"/>
        </w:rPr>
        <w:t>2.5% during the three months ended July 1, 2023 as compared with the same period of fiscal 2023. Without the effects of foreign exchange, Blood Center revenue</w:t>
      </w:r>
      <w:r>
        <w:rPr>
          <w:color w:val="000000"/>
        </w:rPr>
        <w:t xml:space="preserve"> </w:t>
      </w:r>
      <w:r>
        <w:rPr>
          <w:rFonts w:ascii="Times New Roman;sans-serif" w:hAnsi="Times New Roman;sans-serif"/>
          <w:b w:val="false"/>
          <w:color w:val="000000"/>
          <w:sz w:val="20"/>
        </w:rPr>
        <w:t>increased</w:t>
      </w:r>
      <w:r>
        <w:rPr>
          <w:color w:val="000000"/>
          <w:shd w:fill="FFFFFF" w:val="clear"/>
        </w:rPr>
        <w:t xml:space="preserve"> </w:t>
      </w:r>
      <w:r>
        <w:rPr>
          <w:rFonts w:ascii="Times New Roman;sans-serif" w:hAnsi="Times New Roman;sans-serif"/>
          <w:b w:val="false"/>
          <w:color w:val="000000"/>
          <w:sz w:val="20"/>
          <w:shd w:fill="FFFFFF" w:val="clear"/>
        </w:rPr>
        <w:t>5.8% during the three months ended July 1, 2023 as compared with the same periods of fiscal 2023. Th</w:t>
      </w:r>
      <w:r>
        <w:rPr>
          <w:rFonts w:ascii="Times New Roman;sans-serif" w:hAnsi="Times New Roman;sans-serif"/>
          <w:b w:val="false"/>
          <w:color w:val="000000"/>
          <w:sz w:val="20"/>
        </w:rPr>
        <w:t>e increase was primarily due to an increase in our apheresis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Hospital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Hospital revenue</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 xml:space="preserve">12.6% during the three months ended July 1, 2023 as compared with the same period of fiscal 2023. Without the effects of foreign exchange, Hospital revenue increased 13.8% during the three months ended July 1, 2023 as compared with the same period of fiscal 2023. </w:t>
      </w:r>
      <w:r>
        <w:rPr>
          <w:rFonts w:ascii="Times New Roman;sans-serif" w:hAnsi="Times New Roman;sans-serif"/>
          <w:b w:val="false"/>
          <w:color w:val="000000"/>
          <w:sz w:val="20"/>
        </w:rPr>
        <w:t>The increase during the three months ended July 1, 2023 was primarily attributable to increased Vascular Closure and Hemostasis Management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Gross Profit</w:t>
      </w:r>
    </w:p>
    <w:tbl>
      <w:tblPr>
        <w:tblW w:w="6548" w:type="dxa"/>
        <w:jc w:val="left"/>
        <w:tblInd w:w="0" w:type="dxa"/>
        <w:tblLayout w:type="fixed"/>
        <w:tblCellMar>
          <w:top w:w="28" w:type="dxa"/>
          <w:left w:w="28" w:type="dxa"/>
          <w:bottom w:w="28" w:type="dxa"/>
          <w:right w:w="28" w:type="dxa"/>
        </w:tblCellMar>
      </w:tblPr>
      <w:tblGrid>
        <w:gridCol w:w="565"/>
        <w:gridCol w:w="497"/>
        <w:gridCol w:w="498"/>
        <w:gridCol w:w="211"/>
        <w:gridCol w:w="826"/>
        <w:gridCol w:w="271"/>
        <w:gridCol w:w="109"/>
        <w:gridCol w:w="109"/>
        <w:gridCol w:w="109"/>
        <w:gridCol w:w="211"/>
        <w:gridCol w:w="826"/>
        <w:gridCol w:w="271"/>
        <w:gridCol w:w="109"/>
        <w:gridCol w:w="109"/>
        <w:gridCol w:w="109"/>
        <w:gridCol w:w="255"/>
        <w:gridCol w:w="256"/>
        <w:gridCol w:w="508"/>
        <w:gridCol w:w="109"/>
        <w:gridCol w:w="109"/>
        <w:gridCol w:w="109"/>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Gross profit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17.6% for the three months ended July 1, 2023 as compared with the same period of fiscal 2023. Without the effects of foreign exchange, gross profit</w:t>
      </w:r>
      <w:r>
        <w:rPr>
          <w:color w:val="000000"/>
        </w:rPr>
        <w:t xml:space="preserve"> </w:t>
      </w:r>
      <w:r>
        <w:rPr>
          <w:rFonts w:ascii="Times New Roman;sans-serif" w:hAnsi="Times New Roman;sans-serif"/>
          <w:b w:val="false"/>
          <w:color w:val="000000"/>
          <w:sz w:val="20"/>
        </w:rPr>
        <w:t>increased</w:t>
      </w:r>
      <w:r>
        <w:rPr>
          <w:color w:val="000000"/>
          <w:shd w:fill="FFFFFF" w:val="clear"/>
        </w:rPr>
        <w:t xml:space="preserve"> </w:t>
      </w:r>
      <w:r>
        <w:rPr>
          <w:rFonts w:ascii="Times New Roman;sans-serif" w:hAnsi="Times New Roman;sans-serif"/>
          <w:b w:val="false"/>
          <w:color w:val="000000"/>
          <w:sz w:val="20"/>
          <w:shd w:fill="FFFFFF" w:val="clear"/>
        </w:rPr>
        <w:t xml:space="preserve">21.8% during the three months ended July 1, 2023 as compared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same period of fiscal 2023. The </w:t>
      </w:r>
      <w:r>
        <w:rPr>
          <w:rFonts w:ascii="Times New Roman;sans-serif" w:hAnsi="Times New Roman;sans-serif"/>
          <w:b w:val="false"/>
          <w:color w:val="000000"/>
          <w:sz w:val="20"/>
        </w:rPr>
        <w:t xml:space="preserve">increase </w:t>
      </w:r>
      <w:r>
        <w:rPr>
          <w:rFonts w:ascii="Times New Roman;sans-serif" w:hAnsi="Times New Roman;sans-serif"/>
          <w:b w:val="false"/>
          <w:color w:val="000000"/>
          <w:sz w:val="20"/>
          <w:shd w:fill="FFFFFF" w:val="clear"/>
        </w:rPr>
        <w:t>during the three months ended July 1, 2023</w:t>
      </w:r>
      <w:r>
        <w:rPr>
          <w:color w:val="000000"/>
        </w:rPr>
        <w:t xml:space="preserve"> </w:t>
      </w:r>
      <w:r>
        <w:rPr>
          <w:rFonts w:ascii="Times New Roman;sans-serif" w:hAnsi="Times New Roman;sans-serif"/>
          <w:b w:val="false"/>
          <w:color w:val="000000"/>
          <w:sz w:val="20"/>
        </w:rPr>
        <w:t>was primarily driven by geographic and product mix, volume and price, partially offset by inventory reserves, investments in operations and increased depreciation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Operating Expenses</w:t>
      </w:r>
    </w:p>
    <w:tbl>
      <w:tblPr>
        <w:tblW w:w="8641" w:type="dxa"/>
        <w:jc w:val="left"/>
        <w:tblInd w:w="0" w:type="dxa"/>
        <w:tblLayout w:type="fixed"/>
        <w:tblCellMar>
          <w:top w:w="28" w:type="dxa"/>
          <w:left w:w="28" w:type="dxa"/>
          <w:bottom w:w="28" w:type="dxa"/>
          <w:right w:w="28" w:type="dxa"/>
        </w:tblCellMar>
      </w:tblPr>
      <w:tblGrid>
        <w:gridCol w:w="1285"/>
        <w:gridCol w:w="1130"/>
        <w:gridCol w:w="1139"/>
        <w:gridCol w:w="211"/>
        <w:gridCol w:w="826"/>
        <w:gridCol w:w="271"/>
        <w:gridCol w:w="109"/>
        <w:gridCol w:w="109"/>
        <w:gridCol w:w="109"/>
        <w:gridCol w:w="211"/>
        <w:gridCol w:w="826"/>
        <w:gridCol w:w="271"/>
        <w:gridCol w:w="109"/>
        <w:gridCol w:w="109"/>
        <w:gridCol w:w="109"/>
        <w:gridCol w:w="291"/>
        <w:gridCol w:w="294"/>
        <w:gridCol w:w="533"/>
        <w:gridCol w:w="109"/>
        <w:gridCol w:w="109"/>
        <w:gridCol w:w="109"/>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16.0 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(10.7)</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Research and Development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Research and development expenses increased 16.0% during the three months ended July 1, 2023 as compared with the same period of fiscal 2023. Without the effects of foreign exchange, research and development expenses increased</w:t>
      </w:r>
      <w:r>
        <w:rPr>
          <w:color w:val="000000"/>
          <w:shd w:fill="FFFFFF" w:val="clear"/>
        </w:rPr>
        <w:t xml:space="preserve"> </w:t>
      </w:r>
      <w:r>
        <w:rPr>
          <w:rFonts w:ascii="Times New Roman;sans-serif" w:hAnsi="Times New Roman;sans-serif"/>
          <w:b w:val="false"/>
          <w:color w:val="000000"/>
          <w:sz w:val="20"/>
          <w:shd w:fill="FFFFFF" w:val="clear"/>
        </w:rPr>
        <w:t xml:space="preserve">15.7% during the three months ended July 1, 2023 as compared with the same period of fiscal 2023. </w:t>
      </w:r>
      <w:r>
        <w:rPr>
          <w:rFonts w:ascii="Times New Roman;sans-serif" w:hAnsi="Times New Roman;sans-serif"/>
          <w:b w:val="false"/>
          <w:color w:val="000000"/>
          <w:sz w:val="20"/>
        </w:rPr>
        <w:t>This increase was due to increased investments into product innovation across our product portfolio.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Selling, general and administrativ</w:t>
      </w:r>
      <w:r>
        <w:rPr>
          <w:rFonts w:ascii="Times New Roman;sans-serif" w:hAnsi="Times New Roman;sans-serif"/>
          <w:b w:val="false"/>
          <w:color w:val="000000"/>
          <w:sz w:val="20"/>
        </w:rPr>
        <w:t>e expenses increased 1.4% during the three months ended July 1, 2023 as compared with the same period of fiscal 2023. Without the effects of foreign exchange, selling, general, and administrative expenses increased 1.8% during th</w:t>
      </w:r>
      <w:r>
        <w:rPr>
          <w:rFonts w:ascii="Times New Roman;sans-serif" w:hAnsi="Times New Roman;sans-serif"/>
          <w:b w:val="false"/>
          <w:color w:val="000000"/>
          <w:sz w:val="20"/>
          <w:shd w:fill="FFFFFF" w:val="clear"/>
        </w:rPr>
        <w:t>e three months ended July 1, 2023 as compared with the same period of fiscal 2023. T</w:t>
      </w:r>
      <w:r>
        <w:rPr>
          <w:rFonts w:ascii="Times New Roman;sans-serif" w:hAnsi="Times New Roman;sans-serif"/>
          <w:b w:val="false"/>
          <w:color w:val="000000"/>
          <w:sz w:val="20"/>
        </w:rPr>
        <w:t xml:space="preserve">he increase </w:t>
      </w:r>
      <w:r>
        <w:rPr>
          <w:rFonts w:ascii="Times New Roman;sans-serif" w:hAnsi="Times New Roman;sans-serif"/>
          <w:b w:val="false"/>
          <w:color w:val="000000"/>
          <w:sz w:val="20"/>
          <w:shd w:fill="FFFFFF" w:val="clear"/>
        </w:rPr>
        <w:t>during the three months ended July 1, 2023</w:t>
      </w:r>
      <w:r>
        <w:rPr>
          <w:color w:val="000000"/>
        </w:rPr>
        <w:t xml:space="preserve"> </w:t>
      </w:r>
      <w:r>
        <w:rPr>
          <w:rFonts w:ascii="Times New Roman;sans-serif" w:hAnsi="Times New Roman;sans-serif"/>
          <w:b w:val="false"/>
          <w:color w:val="000000"/>
          <w:sz w:val="20"/>
        </w:rPr>
        <w:t>was primarily driven by higher investments in sales and marketing and costs associated with the upgrade of our enterprise resource planning system.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Amortization of Acquired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We recognized amortization expense related to our acquired intangible assets of $7.5 million and $8.4 million during the three months ended July 1, 2023 and July 2, 2022, respectively. </w:t>
      </w:r>
      <w:r>
        <w:rPr>
          <w:rFonts w:ascii="Times New Roman;sans-serif" w:hAnsi="Times New Roman;sans-serif"/>
          <w:b w:val="false"/>
          <w:color w:val="000000"/>
          <w:sz w:val="20"/>
        </w:rPr>
        <w:t>The decrease is primarily the result of intangible assets that became fully amortized during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and Other Expense, Net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Interest and other expenses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 xml:space="preserve">60.8% during the three months ended July 1, 2023 as compared with the same period of fiscal 2023. </w:t>
      </w:r>
      <w:r>
        <w:rPr>
          <w:rFonts w:ascii="Times New Roman;sans-serif" w:hAnsi="Times New Roman;sans-serif"/>
          <w:b w:val="false"/>
          <w:color w:val="000000"/>
          <w:sz w:val="20"/>
        </w:rPr>
        <w:t>The decrease was primarily driven by increased interest income on investments due to higher interest rates and foreign currency impact due to market and rate volatility, partially offset by higher interest incurred on our term loan.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For the three months ended July 1, 2023, we recorded income tax expense of $10.5 million, representing an effective tax rate of 20.4%. The effective tax rate for the three months ended July 1, 2023 </w:t>
      </w:r>
      <w:r>
        <w:rPr>
          <w:rFonts w:ascii="Times New Roman;sans-serif" w:hAnsi="Times New Roman;sans-serif"/>
          <w:b w:val="false"/>
          <w:color w:val="000000"/>
          <w:sz w:val="20"/>
        </w:rPr>
        <w:t>includes $1.2 million of discrete tax benefit primarily related to stock compensation windfalls.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July 2, 2022</w:t>
      </w:r>
      <w:r>
        <w:rPr>
          <w:rFonts w:ascii="Times New Roman;sans-serif" w:hAnsi="Times New Roman;sans-serif"/>
          <w:b w:val="false"/>
          <w:color w:val="000000"/>
          <w:sz w:val="20"/>
          <w:shd w:fill="FFFFFF" w:val="clear"/>
        </w:rPr>
        <w:t xml:space="preserve">, we recorded income tax expense of $5.6 million, representing an effective tax rate of 22.0%. The effective tax rate for the </w:t>
      </w:r>
      <w:r>
        <w:rPr>
          <w:rFonts w:ascii="Times New Roman;sans-serif" w:hAnsi="Times New Roman;sans-serif"/>
          <w:b w:val="false"/>
          <w:color w:val="000000"/>
          <w:sz w:val="20"/>
        </w:rPr>
        <w:t>three months ended July 2, 2022</w:t>
      </w:r>
      <w:r>
        <w:rPr>
          <w:color w:val="000000"/>
          <w:shd w:fill="FFFFFF" w:val="clear"/>
        </w:rPr>
        <w:t xml:space="preserve"> </w:t>
      </w:r>
      <w:r>
        <w:rPr>
          <w:rFonts w:ascii="Times New Roman;sans-serif" w:hAnsi="Times New Roman;sans-serif"/>
          <w:b w:val="false"/>
          <w:color w:val="000000"/>
          <w:sz w:val="20"/>
          <w:shd w:fill="FFFFFF" w:val="clear"/>
        </w:rPr>
        <w:t>includes $0.6 million discrete tax expense relating to stock compensation shortfalls.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contains certain key performance indicators we believe depict our liquidity and cash flow position:</w:t>
      </w:r>
    </w:p>
    <w:tbl>
      <w:tblPr>
        <w:tblW w:w="5660"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211"/>
        <w:gridCol w:w="901"/>
        <w:gridCol w:w="109"/>
        <w:gridCol w:w="109"/>
        <w:gridCol w:w="109"/>
        <w:gridCol w:w="109"/>
        <w:gridCol w:w="211"/>
        <w:gridCol w:w="90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debt position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sales outstanding (DSO)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turnover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Net debt position is the sum of cash and cash equivalents less total debt.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sources of liquidity are cash and cash equivalents, internally generated cash flow from operations and our revolving credit facility. We believe these sources are sufficient to fund our cash requirements over at least the next twelve months. Our expected cash outlays relate primarily to acquisitions, investments, capital expenditures, including enhancements to our North American manufacturing facilities, share repurchases and cash principal and interest payments under our revised credit agreement.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has $500.0 million aggregate principal amount of 0% convertible senior notes due in 2026, or the 2026 Notes. The 2026 Notes are governed by the terms of the Indenture between the Company and U.S. Bank National Association, as trustee. </w:t>
      </w:r>
      <w:r>
        <w:rPr>
          <w:rFonts w:ascii="Times New Roman;sans-serif" w:hAnsi="Times New Roman;sans-serif"/>
          <w:b w:val="false"/>
          <w:color w:val="000000"/>
          <w:sz w:val="20"/>
        </w:rPr>
        <w:t xml:space="preserve">The total net proceeds from the sale of the 2026 Notes, after deducting the initial purchasers’ discounts and debt issuance costs, were approximately $486.7 million. </w:t>
      </w:r>
      <w:r>
        <w:rPr>
          <w:rFonts w:ascii="Times New Roman;sans-serif" w:hAnsi="Times New Roman;sans-serif"/>
          <w:b w:val="false"/>
          <w:color w:val="000000"/>
          <w:sz w:val="20"/>
          <w:shd w:fill="FFFFFF" w:val="clear"/>
        </w:rPr>
        <w:t xml:space="preserve">The 2026 Notes will mature on March 1, 2026, unless earlier converted, redeemed or repurchased. The 2026 Notes have an effective interest rate of </w:t>
      </w:r>
      <w:r>
        <w:rPr>
          <w:rFonts w:ascii="Times New Roman;sans-serif" w:hAnsi="Times New Roman;sans-serif"/>
          <w:b w:val="false"/>
          <w:color w:val="000000"/>
          <w:sz w:val="20"/>
        </w:rPr>
        <w:t>0.5%</w:t>
      </w:r>
      <w:r>
        <w:rPr>
          <w:color w:val="000000"/>
          <w:shd w:fill="FFFFFF" w:val="clear"/>
        </w:rPr>
        <w:t xml:space="preserve"> </w:t>
      </w:r>
      <w:r>
        <w:rPr>
          <w:rFonts w:ascii="Times New Roman;sans-serif" w:hAnsi="Times New Roman;sans-serif"/>
          <w:b w:val="false"/>
          <w:color w:val="000000"/>
          <w:sz w:val="20"/>
          <w:shd w:fill="FFFFFF" w:val="clear"/>
        </w:rPr>
        <w:t>as of July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July 1, 2023, we had $285.7 million in cash and cash equivalents, the majority of which is held in the U.S. or in countries from which it can be repatriated to the U.S. On July 26, 2022, we entered into an amended and restated credit agreement with certain lenders to refinance our prior credit agreement entered into on June 15, 2018, which consisted of a $350.0 million term loan and a $350.0 million revolving loan (together, as amended from time to time, the “2018 Credit Facilities”), and extend the maturity date through June 2025. Our Revised Credit Facilities include a $280.0 million senior unsecured term loan, the proceeds of which have been used to retire the balance of the term loan under the 2018 Credit Facilities, and a $420.0 million senior unsecured revolving credit facility.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As of July 1, 2023, $273.0 million was outstanding under the term loan with an effective interest rate of 6.6%. 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 xml:space="preserve">borrowings outstanding on the revolving loan. We also had $19.6 million of uncommitted operating lines of credit to fund our global operations under which 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outstanding borrowings as of July 1, 2023. Additionally, the Company was in compliance with the leverage and interest coverage ratios specified in the credit agreement as well as all other bank covenants as of July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scheduled principal payments of $10.5 million required during the remainder of fiscal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fiscal 2022, our Board of Directors approved a revised Operational Excellence Program. We estimate that we will incur aggregate charges between $95 million and $105 million in connection with the Operational Excellence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months ended July 1, 2023, we incurred $2.2 million of restructuring and restructuring related costs under this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Cash Flows</w:t>
      </w:r>
    </w:p>
    <w:tbl>
      <w:tblPr>
        <w:tblW w:w="8324" w:type="dxa"/>
        <w:jc w:val="left"/>
        <w:tblInd w:w="0" w:type="dxa"/>
        <w:tblLayout w:type="fixed"/>
        <w:tblCellMar>
          <w:top w:w="28" w:type="dxa"/>
          <w:left w:w="28" w:type="dxa"/>
          <w:bottom w:w="28" w:type="dxa"/>
          <w:right w:w="28" w:type="dxa"/>
        </w:tblCellMar>
      </w:tblPr>
      <w:tblGrid>
        <w:gridCol w:w="1902"/>
        <w:gridCol w:w="1671"/>
        <w:gridCol w:w="1677"/>
        <w:gridCol w:w="109"/>
        <w:gridCol w:w="109"/>
        <w:gridCol w:w="109"/>
        <w:gridCol w:w="211"/>
        <w:gridCol w:w="721"/>
        <w:gridCol w:w="109"/>
        <w:gridCol w:w="109"/>
        <w:gridCol w:w="109"/>
        <w:gridCol w:w="109"/>
        <w:gridCol w:w="211"/>
        <w:gridCol w:w="796"/>
        <w:gridCol w:w="109"/>
        <w:gridCol w:w="109"/>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exchange rate changes on cash and cash equivalents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Net cash provided by operating activities de</w:t>
      </w:r>
      <w:r>
        <w:rPr>
          <w:rFonts w:ascii="Times New Roman;sans-serif" w:hAnsi="Times New Roman;sans-serif"/>
          <w:b w:val="false"/>
          <w:color w:val="000000"/>
          <w:sz w:val="20"/>
        </w:rPr>
        <w:t xml:space="preserve">creased </w:t>
      </w:r>
      <w:r>
        <w:rPr>
          <w:rFonts w:ascii="Times New Roman;sans-serif" w:hAnsi="Times New Roman;sans-serif"/>
          <w:b w:val="false"/>
          <w:color w:val="000000"/>
          <w:sz w:val="20"/>
          <w:shd w:fill="FFFFFF" w:val="clear"/>
        </w:rPr>
        <w:t xml:space="preserve">by $22.9 million during the three months ended July 1, 2023, as compared with the three months ended July 2, 2022. </w:t>
      </w:r>
      <w:r>
        <w:rPr>
          <w:rFonts w:ascii="Times New Roman;sans-serif" w:hAnsi="Times New Roman;sans-serif"/>
          <w:b w:val="false"/>
          <w:color w:val="000000"/>
          <w:sz w:val="20"/>
        </w:rPr>
        <w:t>The decrease in cash provided by operating activitie</w:t>
      </w:r>
      <w:r>
        <w:rPr>
          <w:rFonts w:ascii="Times New Roman;sans-serif" w:hAnsi="Times New Roman;sans-serif"/>
          <w:b w:val="false"/>
          <w:color w:val="000000"/>
          <w:sz w:val="20"/>
          <w:shd w:fill="FFFFFF" w:val="clear"/>
        </w:rPr>
        <w:t>s was primarily the result of an increase in inventory, partially offset by an increase in net income.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Net cash used in investing activities d</w:t>
      </w:r>
      <w:r>
        <w:rPr>
          <w:rFonts w:ascii="Times New Roman;sans-serif" w:hAnsi="Times New Roman;sans-serif"/>
          <w:b w:val="false"/>
          <w:color w:val="000000"/>
          <w:sz w:val="20"/>
        </w:rPr>
        <w:t xml:space="preserve">ecreased </w:t>
      </w:r>
      <w:r>
        <w:rPr>
          <w:rFonts w:ascii="Times New Roman;sans-serif" w:hAnsi="Times New Roman;sans-serif"/>
          <w:b w:val="false"/>
          <w:color w:val="000000"/>
          <w:sz w:val="20"/>
          <w:shd w:fill="FFFFFF" w:val="clear"/>
        </w:rPr>
        <w:t xml:space="preserve">by $43.0 million during the three months ended July 1, 2023, as compared with the three months ended July 2, 2022. </w:t>
      </w:r>
      <w:r>
        <w:rPr>
          <w:rFonts w:ascii="Times New Roman;sans-serif" w:hAnsi="Times New Roman;sans-serif"/>
          <w:b w:val="false"/>
          <w:color w:val="000000"/>
          <w:sz w:val="20"/>
        </w:rPr>
        <w:t>The decrease in cash used in investing activities was primarily the result of lower capital expenditures driven by NexSys PCS device placements that occurred during fiscal 2023 and decreased other investments compared to the first quarter of fiscal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Net cash used in financing activities </w:t>
      </w:r>
      <w:r>
        <w:rPr>
          <w:rFonts w:ascii="Times New Roman;sans-serif" w:hAnsi="Times New Roman;sans-serif"/>
          <w:b w:val="false"/>
          <w:color w:val="000000"/>
          <w:sz w:val="20"/>
        </w:rPr>
        <w:t xml:space="preserve">decreased </w:t>
      </w:r>
      <w:r>
        <w:rPr>
          <w:rFonts w:ascii="Times New Roman;sans-serif" w:hAnsi="Times New Roman;sans-serif"/>
          <w:b w:val="false"/>
          <w:color w:val="000000"/>
          <w:sz w:val="20"/>
          <w:shd w:fill="FFFFFF" w:val="clear"/>
        </w:rPr>
        <w:t xml:space="preserve">by $22.8 million during the three months ended July 1, 2023, as compared with the three months ended July 2, 2022, </w:t>
      </w:r>
      <w:r>
        <w:rPr>
          <w:rFonts w:ascii="Times New Roman;sans-serif" w:hAnsi="Times New Roman;sans-serif"/>
          <w:b w:val="false"/>
          <w:color w:val="000000"/>
          <w:sz w:val="20"/>
        </w:rPr>
        <w:t>primarily due to lower contingent consideration payments in the first quarter of fiscal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Concentration of Credit Risk</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continue to monitor inflationary pressures generally and raw materials indices that may affect our procurement and production costs. Increases in the price of petroleum derivatives could result in corresponding increases in our costs to procure plastic raw materials.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July 1, 2023, 23.9%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 and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currently no recent accounting pronouncements that we expect to have a material impact on our financial position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Statement Regarding Forward-Looking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w:t>
      </w:r>
      <w:r>
        <w:rPr>
          <w:color w:val="212121"/>
          <w:shd w:fill="FFFFFF" w:val="clear"/>
        </w:rPr>
        <w:t> </w:t>
      </w:r>
      <w:r>
        <w:rPr>
          <w:rFonts w:ascii="Times New Roman;sans-serif" w:hAnsi="Times New Roman;sans-serif"/>
          <w:b w:val="false"/>
          <w:color w:val="000000"/>
          <w:sz w:val="20"/>
          <w:shd w:fill="FFFFFF" w:val="clear"/>
        </w:rPr>
        <w:t>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Because forward-looking statements are based on current beliefs, expectations and assumptions regarding future events, they are subject to uncertainties, risks and changes that are difficult to predict and many of which are outside of the Company</w:t>
      </w:r>
      <w:r>
        <w:rPr>
          <w:color w:val="000000"/>
        </w:rPr>
        <w:t>’</w:t>
      </w:r>
      <w:r>
        <w:rPr>
          <w:rFonts w:ascii="Times New Roman;sans-serif" w:hAnsi="Times New Roman;sans-serif"/>
          <w:b w:val="false"/>
          <w:color w:val="000000"/>
          <w:sz w:val="20"/>
          <w:shd w:fill="FFFFFF" w:val="clear"/>
        </w:rPr>
        <w:t xml:space="preserve">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achieve our long-term strategic and financial-improvement goals;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Demand for and market acceptance risks for new and existing products, including material reductions in purchasing from or loss of a significant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Product quality or safety concerns, leading to product recalls, withdrawals, regulatory action by the FDA (or similar non-U.S. regulatory agencies), reputational damage, declining sales or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Security breaches of our information technology systems or our products, which could impair our ability to conduct business or compromise sensitive information of the Company or its customers, suppliers and other business partners, or of customers’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Pricing pressures resulting from trends toward healthcare cost containment, including the continued consolidation among healthcare providers and other market participants;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obtain the anticipated benefits of restructuring programs that we have or may undertake, including the Operational Excellence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that the expected strategic benefits and opportunities from completed or planned acquisitions, divestitures or other strategic investments by the Company may not be realized or may take longer to realize than expected;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enhanced requirements to obtain regulatory approval in the U.S. and around the world and the associated timing and cost of product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U.S. and foreign export and import restrictions and tariffs;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meet our debt obligations and raise additional capital when desired on terms reasonably acceptable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impact of our convertible senior notes and related capped call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Geopolitical and economic conditions in China, Russia and other foreign jurisdictions where we do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execute and realize anticipated benefits from our investments in emerging economies;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effect of foreign currency fluctuations and interest rate fluctuations on our net sales, expenses and resulting margins;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changes in U.S. and international tax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protect intellectual property and the outcome of patent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Costs and risks associated with product liability and other litigation claims we may be subject to now or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actual or threatened public health emergencies;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retain and attract key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Market conditions impacting our stock price and/or our share repurchase program, and the possibility that such share repurchase program may be delayed, suspended or discontinued;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achieve against our corporate responsibility initiatives and meet evolving stakeholder expectations concerning corporate responsibility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exposures relative to market risk are due to foreign exchange risk and 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estimate the change in the fair value of all forward contracts assuming both a 10% strengthening and weakening of the U.S. Dollar relative to all other major cu</w:t>
      </w:r>
      <w:r>
        <w:rPr>
          <w:rFonts w:ascii="Times New Roman;sans-serif" w:hAnsi="Times New Roman;sans-serif"/>
          <w:b w:val="false"/>
          <w:color w:val="000000"/>
          <w:sz w:val="20"/>
          <w:shd w:fill="FFFFFF" w:val="clear"/>
        </w:rPr>
        <w:t xml:space="preserve">rrencies. As of July 1, 2023, in the event of a 10% strengthening of the U.S. Dollar, the change in fair value of all forward contracts would result in a </w:t>
      </w:r>
      <w:r>
        <w:rPr>
          <w:rFonts w:ascii="Times New Roman;sans-serif" w:hAnsi="Times New Roman;sans-serif"/>
          <w:b w:val="false"/>
          <w:color w:val="000000"/>
          <w:sz w:val="20"/>
        </w:rPr>
        <w:t xml:space="preserve">$3.4 million increase in the fair value of the forward contracts, whereas a 10% weakening of the U.S. Dollar would result in a $3.7 million </w:t>
      </w:r>
      <w:r>
        <w:rPr>
          <w:rFonts w:ascii="Times New Roman;sans-serif" w:hAnsi="Times New Roman;sans-serif"/>
          <w:b w:val="false"/>
          <w:color w:val="000000"/>
          <w:sz w:val="20"/>
          <w:shd w:fill="FFFFFF" w:val="clear"/>
        </w:rPr>
        <w:t>decr</w:t>
      </w:r>
      <w:r>
        <w:rPr>
          <w:rFonts w:ascii="Times New Roman;sans-serif" w:hAnsi="Times New Roman;sans-serif"/>
          <w:b w:val="false"/>
          <w:color w:val="000000"/>
          <w:sz w:val="20"/>
        </w:rPr>
        <w:t>ease in the fair value of the forward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Our exposure to changes in interest rates is associated with borrowings under our credit facilities, all of which is variable rate debt. Total outstanding debt under our Revised Credit Facilities as of July 1, 2023 was $273.0 million with an effective interest rate of 6.6% based on prevailing Term SOFR rates. An increase of 100 basis points in Term SOFR rates would result in additional annual interest expense of </w:t>
      </w:r>
      <w:r>
        <w:rPr>
          <w:rFonts w:ascii="Times New Roman;sans-serif" w:hAnsi="Times New Roman;sans-serif"/>
          <w:b w:val="false"/>
          <w:color w:val="000000"/>
          <w:sz w:val="20"/>
        </w:rPr>
        <w:t>$0.5 million</w:t>
      </w:r>
      <w:r>
        <w:rPr>
          <w:rFonts w:ascii="Times New Roman;sans-serif" w:hAnsi="Times New Roman;sans-serif"/>
          <w:b w:val="false"/>
          <w:color w:val="000000"/>
          <w:sz w:val="20"/>
          <w:shd w:fill="FFFFFF" w:val="clear"/>
        </w:rPr>
        <w:t>. As of July 1, 2023</w:t>
      </w:r>
      <w:r>
        <w:rPr>
          <w:rFonts w:ascii="Times New Roman;sans-serif" w:hAnsi="Times New Roman;sans-serif"/>
          <w:b w:val="false"/>
          <w:color w:val="000000"/>
          <w:sz w:val="20"/>
        </w:rPr>
        <w:t xml:space="preserve">, the notional amount </w:t>
      </w:r>
      <w:r>
        <w:rPr>
          <w:rFonts w:ascii="Times New Roman;sans-serif" w:hAnsi="Times New Roman;sans-serif"/>
          <w:b w:val="false"/>
          <w:color w:val="000000"/>
          <w:sz w:val="20"/>
          <w:shd w:fill="FFFFFF" w:val="clear"/>
        </w:rPr>
        <w:t>on our two active in</w:t>
      </w:r>
      <w:r>
        <w:rPr>
          <w:rFonts w:ascii="Times New Roman;sans-serif" w:hAnsi="Times New Roman;sans-serif"/>
          <w:b w:val="false"/>
          <w:color w:val="000000"/>
          <w:sz w:val="20"/>
        </w:rPr>
        <w:t xml:space="preserve">terest rate swap agreements to effectively convert borrowings under our Credit Facilities from a variable rate to a fixed rate were $219.1 million. </w:t>
      </w:r>
      <w:r>
        <w:rPr>
          <w:rFonts w:ascii="Times New Roman;sans-serif" w:hAnsi="Times New Roman;sans-serif"/>
          <w:b w:val="false"/>
          <w:color w:val="000000"/>
          <w:sz w:val="20"/>
          <w:shd w:fill="FFFFFF" w:val="clear"/>
        </w:rPr>
        <w:t>These interest rate swaps are intended to mitigate the exposure to fluctuations in interest rates and qualify for hedge accounting treatment as cash flow hedges.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an evaluation, as of July 1, 2023,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Officer concluded that our disclosure controls and procedures were effective as of July 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July 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Information with respect to this Item may be found in Note 13,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the Unaudited Condensed Consolidated Financial Statements in this Quarterly Report on Form 10-Q,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from the Risk Factors previously disclosed in our Annual Report on Form 10-K for the fiscal year ended April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1, 2023, certain of our directors and officers (as defined under Rule 16a-1(f) under the Securities Exchange Act of 1934) adopted or terminated trading arrangements for the sale of shares of our common stock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9"/>
        <w:gridCol w:w="657"/>
        <w:gridCol w:w="439"/>
        <w:gridCol w:w="120"/>
        <w:gridCol w:w="120"/>
        <w:gridCol w:w="120"/>
        <w:gridCol w:w="325"/>
        <w:gridCol w:w="325"/>
        <w:gridCol w:w="329"/>
        <w:gridCol w:w="120"/>
        <w:gridCol w:w="120"/>
        <w:gridCol w:w="120"/>
        <w:gridCol w:w="217"/>
        <w:gridCol w:w="217"/>
        <w:gridCol w:w="222"/>
        <w:gridCol w:w="120"/>
        <w:gridCol w:w="120"/>
        <w:gridCol w:w="120"/>
        <w:gridCol w:w="277"/>
        <w:gridCol w:w="277"/>
        <w:gridCol w:w="205"/>
        <w:gridCol w:w="167"/>
        <w:gridCol w:w="167"/>
        <w:gridCol w:w="167"/>
        <w:gridCol w:w="376"/>
        <w:gridCol w:w="376"/>
        <w:gridCol w:w="389"/>
        <w:gridCol w:w="120"/>
        <w:gridCol w:w="120"/>
        <w:gridCol w:w="120"/>
        <w:gridCol w:w="401"/>
        <w:gridCol w:w="401"/>
        <w:gridCol w:w="403"/>
        <w:gridCol w:w="120"/>
        <w:gridCol w:w="120"/>
        <w:gridCol w:w="120"/>
        <w:gridCol w:w="380"/>
        <w:gridCol w:w="380"/>
        <w:gridCol w:w="559"/>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Arrangement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Number of Shares to be Sold</w:t>
            </w:r>
            <w:r>
              <w:rPr>
                <w:rFonts w:ascii="Times New Roman;sans-serif" w:hAnsi="Times New Roman;sans-serif"/>
                <w:b/>
                <w:color w:val="000000"/>
                <w:sz w:val="13"/>
              </w:rPr>
              <w:t>(1)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Expiration Date</w:t>
            </w:r>
            <w:r>
              <w:rPr>
                <w:rFonts w:ascii="Times New Roman;sans-serif" w:hAnsi="Times New Roman;sans-serif"/>
                <w:b/>
                <w:color w:val="000000"/>
                <w:sz w:val="13"/>
              </w:rPr>
              <w:t>(2)</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Charles Dockendorff, Director</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5/30/2023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5/31/2024</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Anila Lingamneni, EVP, Chief Technology Officer</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6/5/2023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13,984</w:t>
            </w:r>
            <w:r>
              <w:rPr>
                <w:rFonts w:ascii="Times New Roman;sans-serif" w:hAnsi="Times New Roman;sans-serif"/>
                <w:b w:val="false"/>
                <w:color w:val="000000"/>
                <w:sz w:val="13"/>
              </w:rPr>
              <w:t>(3)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Stewart Strong, President, Global Hospital</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6/12/2023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15,547</w:t>
            </w:r>
            <w:r>
              <w:rPr>
                <w:rFonts w:ascii="Times New Roman;sans-serif" w:hAnsi="Times New Roman;sans-serif"/>
                <w:b w:val="false"/>
                <w:color w:val="000000"/>
                <w:sz w:val="13"/>
              </w:rPr>
              <w:t>(4)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7/30/2024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Intended to satisfy the affirmative defense conditions of Rule 10b5-1(c) under the Securities Exchange Act of 1934.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Not intended to satisfy the affirmative defense conditions of Rule 10b5-1(c) under the Securities Exchange Act of 1934.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number of shares of common stock sold under each trading arrangement, if any, will be net of shares withheld for applicable tax obligations upon the vesting and/or exercise of covered securities as well as payment of the exercise price upon the exercise of stock options, which amounts are not yet determinable.</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Except as otherwise indicated by footnote, each trading arrangement expires upon the earlier of (a) completion of all authorized transactions thereunder and (b) the expiration date listed above. </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Includes 7,070 target shares subject to a performance share unit (“PSU”) award previously granted to Ms. Lingamneni on May 18, 2021. The actual number of shares to be earned under the PSU award, and subject to sale under this trading arrangement, may range from 0% to a maximum of 200% of the target award depending upon the Company’s total shareholder return relative to the components of the S&amp;P MidCap 400 index during a three-year performance period from May 18, 2021 to May 17, 2024. </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Includes 6,628 and 4,040 target shares subject to PSU awards previously granted to Mr. Strong on May 18, 2021 and July 13, 2021, respectively. The actual number of shares to be earned under each PSU award, and subject to sale under this trading arrangement, may range from 0% to a maximum of 200% of the target award depending upon the Company’s total shareholder return relative to the components of the S&amp;P MidCap 400 index during three-year performance periods from May 18, 2021 to May 17, 2024 and from July 13, 2021 to July 12, 2024, respectively.</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360" w:type="dxa"/>
            <w:gridSpan w:val="36"/>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8"/>
        <w:gridCol w:w="166"/>
        <w:gridCol w:w="170"/>
        <w:gridCol w:w="2950"/>
        <w:gridCol w:w="2785"/>
        <w:gridCol w:w="3946"/>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Articles of Organization of the Company, reflecting Articles of Amendment dated August 23, 1993, August 21, 2006, July 26, 2018 and July 25, 2019 (filed as Exhibit 3.1 to the Company’s Form 8-K dated July 29, 2019 and incorporated herein by reference).</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the Company, as amended through June 29, 2020 (filed as Exhibit 3.1 to the Company’s Form 8-K dated June 30, 2020 and incorporated herein by reference).</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1junex101.htm">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Worldwide Employee Bonus Plan (as amended and restated effective May 13, 2023)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1junex102.htm">
              <w:r>
                <w:rPr>
                  <w:rStyle w:val="InternetLink"/>
                  <w:rFonts w:ascii="Times New Roman;sans-serif" w:hAnsi="Times New Roman;sans-serif"/>
                  <w:b w:val="false"/>
                  <w:color w:val="0000FF"/>
                  <w:sz w:val="20"/>
                  <w:u w:val="single"/>
                </w:rPr>
                <w:t>10.2</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with Employees under 2019 Long-Term Incentive Compensation Plan (adopted fiscal 2024)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1junex103.htm">
              <w:r>
                <w:rPr>
                  <w:rStyle w:val="InternetLink"/>
                  <w:rFonts w:ascii="Times New Roman;sans-serif" w:hAnsi="Times New Roman;sans-serif"/>
                  <w:b w:val="false"/>
                  <w:color w:val="0000FF"/>
                  <w:sz w:val="20"/>
                  <w:u w:val="single"/>
                </w:rPr>
                <w:t>10.3</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under 2019 Long-Term Incentive Compensation Plan (adopted fiscal 2024).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1junex104.htm">
              <w:r>
                <w:rPr>
                  <w:rStyle w:val="InternetLink"/>
                  <w:rFonts w:ascii="Times New Roman;sans-serif" w:hAnsi="Times New Roman;sans-serif"/>
                  <w:b w:val="false"/>
                  <w:color w:val="0000FF"/>
                  <w:sz w:val="20"/>
                  <w:u w:val="single"/>
                </w:rPr>
                <w:t>10.4</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Unit Award Agreement under 2019 Long-Term Incentive Compensation Plan (adopted fiscal 2024).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1jun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Act of 2002, of Christopher A. Simon, President and Chief Executive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1jun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of 2002, of James C. D'Arecca, Executive Vice President, Chief Financial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1jun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Christopher A. Simon, President and Chief Executive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1jun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James C. D'Arecca, Executive Vice President, Chief Financial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Haemonetics Corporation on Form 10-Q for the quarter ended July 2, 2022 formatted in inline Extensible Business Reporting Language (XBRL) includes: (i) Condensed Consolidated Statements of Income and Comprehensive Income, (ii) Condensed Consolidated Balance Sheets, (iii) Condensed Consolidated Statement of Stockholders' Equity, (iv) Condensed Consolidated Statements of Cash Flows, and (v) Notes to Condensed Consolidated Financial Statements.</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contained in Exhibit 101).</w:t>
            </w:r>
          </w:p>
        </w:tc>
      </w:tr>
    </w:tbl>
    <w:tbl>
      <w:tblPr>
        <w:tblW w:w="7616"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2032"/>
        <w:gridCol w:w="2032"/>
        <w:gridCol w:w="288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filed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furnished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plan, or arrangement related to the compensation of officers or directors.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36bab67a8454ed4a4893e0a907d94b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865" w:type="dxa"/>
        <w:jc w:val="left"/>
        <w:tblInd w:w="0" w:type="dxa"/>
        <w:tblLayout w:type="fixed"/>
        <w:tblCellMar>
          <w:top w:w="28" w:type="dxa"/>
          <w:left w:w="28" w:type="dxa"/>
          <w:bottom w:w="28" w:type="dxa"/>
          <w:right w:w="28" w:type="dxa"/>
        </w:tblCellMar>
      </w:tblPr>
      <w:tblGrid>
        <w:gridCol w:w="493"/>
        <w:gridCol w:w="435"/>
        <w:gridCol w:w="437"/>
        <w:gridCol w:w="481"/>
        <w:gridCol w:w="481"/>
        <w:gridCol w:w="481"/>
        <w:gridCol w:w="1885"/>
        <w:gridCol w:w="1885"/>
        <w:gridCol w:w="1915"/>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before="0" w:after="2"/>
        <w:jc w:val="center"/>
        <w:rPr/>
      </w:pPr>
      <w:r>
        <w:rPr/>
      </w:r>
    </w:p>
    <w:p>
      <w:pPr>
        <w:pStyle w:val="TextBody"/>
        <w:bidi w:val="0"/>
        <w:spacing w:lineRule="auto" w:line="240" w:before="0" w:after="2"/>
        <w:jc w:val="center"/>
        <w:rPr>
          <w:rFonts w:ascii="Arial;sans-serif" w:hAnsi="Arial;sans-serif"/>
          <w:b/>
          <w:color w:val="000000"/>
          <w:sz w:val="32"/>
        </w:rPr>
      </w:pPr>
      <w:r>
        <w:rPr>
          <w:rFonts w:ascii="Arial;sans-serif" w:hAnsi="Arial;sans-serif"/>
          <w:b/>
          <w:color w:val="000000"/>
          <w:sz w:val="32"/>
        </w:rPr>
        <w:t>Haemonetics Corporation</w:t>
      </w:r>
    </w:p>
    <w:p>
      <w:pPr>
        <w:pStyle w:val="TextBody"/>
        <w:bidi w:val="0"/>
        <w:spacing w:lineRule="auto" w:line="240" w:before="0" w:after="0"/>
        <w:jc w:val="center"/>
        <w:rPr>
          <w:rFonts w:ascii="Arial;sans-serif" w:hAnsi="Arial;sans-serif"/>
          <w:b/>
          <w:color w:val="000000"/>
          <w:sz w:val="32"/>
        </w:rPr>
      </w:pPr>
      <w:r>
        <w:rPr>
          <w:rFonts w:ascii="Arial;sans-serif" w:hAnsi="Arial;sans-serif"/>
          <w:b/>
          <w:color w:val="000000"/>
          <w:sz w:val="32"/>
        </w:rPr>
        <w:t>Worldwide Employee Bonus Plan</w:t>
      </w:r>
    </w:p>
    <w:p>
      <w:pPr>
        <w:pStyle w:val="TextBody"/>
        <w:bidi w:val="0"/>
        <w:spacing w:lineRule="auto" w:line="240" w:before="0" w:after="240"/>
        <w:jc w:val="center"/>
        <w:rPr>
          <w:rFonts w:ascii="Arial;sans-serif" w:hAnsi="Arial;sans-serif"/>
          <w:b/>
          <w:color w:val="000000"/>
          <w:sz w:val="32"/>
        </w:rPr>
      </w:pPr>
      <w:r>
        <w:rPr>
          <w:rFonts w:ascii="Arial;sans-serif" w:hAnsi="Arial;sans-serif"/>
          <w:b/>
          <w:color w:val="000000"/>
          <w:sz w:val="32"/>
        </w:rPr>
        <w:t>(As Amended and Restated Effective May 13, 2023)</w:t>
      </w:r>
    </w:p>
    <w:p>
      <w:pPr>
        <w:pStyle w:val="TextBody"/>
        <w:bidi w:val="0"/>
        <w:spacing w:lineRule="auto" w:line="240" w:before="0" w:after="240"/>
        <w:ind w:left="0" w:right="0" w:firstLine="432"/>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shd w:fill="FFFFFF" w:val="clear"/>
        </w:rPr>
        <w:t>Background and Purpose</w:t>
      </w:r>
      <w:r>
        <w:rPr>
          <w:rFonts w:ascii="Times New Roman;sans-serif" w:hAnsi="Times New Roman;sans-serif"/>
          <w:b w:val="false"/>
          <w:color w:val="000000"/>
          <w:sz w:val="24"/>
        </w:rPr>
        <w:t>.</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shd w:fill="FFFFFF" w:val="clear"/>
        </w:rPr>
        <w:t>Purpose</w:t>
      </w:r>
      <w:r>
        <w:rPr>
          <w:rFonts w:ascii="Times New Roman;sans-serif" w:hAnsi="Times New Roman;sans-serif"/>
          <w:b w:val="false"/>
          <w:color w:val="000000"/>
          <w:sz w:val="24"/>
        </w:rPr>
        <w:t>. The purpose of the Haemonetics Corporation Worldwide Employee Bonus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is to provide incentive compensation to those eligible employees with significant responsibility for the growth, profitability and success of the Company’s business goals. The Plan is designed (i) to promote the attainment of the Company’s significant business objectives; (ii) to encourage and reward Participants’ teamwork across the entire Company; and (iii) to assist in the attraction and retention of employees vital to the Company’s long-term success.</w:t>
      </w:r>
    </w:p>
    <w:p>
      <w:pPr>
        <w:pStyle w:val="TextBody"/>
        <w:bidi w:val="0"/>
        <w:spacing w:before="0" w:after="0"/>
        <w:jc w:val="left"/>
        <w:rPr/>
      </w:pPr>
      <w:r>
        <w:rPr/>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shd w:fill="FFFFFF" w:val="clear"/>
        </w:rPr>
        <w:t>Effective Date</w:t>
      </w:r>
      <w:r>
        <w:rPr>
          <w:rFonts w:ascii="Times New Roman;sans-serif" w:hAnsi="Times New Roman;sans-serif"/>
          <w:b w:val="false"/>
          <w:color w:val="000000"/>
          <w:sz w:val="24"/>
        </w:rPr>
        <w:t>. The Plan, as amended and restated, is effective as of May 13,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xml:space="preserve">), and shall remain in effect until it has been terminated pursuant to </w:t>
      </w:r>
      <w:hyperlink w:anchor="ib9e6e0cbeed24dadb435839b02c46731_1">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8.6. </w:t>
      </w:r>
    </w:p>
    <w:p>
      <w:pPr>
        <w:pStyle w:val="TextBody"/>
        <w:bidi w:val="0"/>
        <w:spacing w:lineRule="auto" w:line="240" w:before="0" w:after="240"/>
        <w:ind w:left="0" w:right="0" w:firstLine="432"/>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shd w:fill="FFFFFF" w:val="clear"/>
        </w:rPr>
        <w:t>Definitions</w:t>
      </w:r>
      <w:r>
        <w:rPr>
          <w:rFonts w:ascii="Times New Roman;sans-serif" w:hAnsi="Times New Roman;sans-serif"/>
          <w:b w:val="false"/>
          <w:color w:val="000000"/>
          <w:sz w:val="24"/>
        </w:rPr>
        <w:t>. The following terms shall have the following meanings:</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2.1</w:t>
      </w: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any corporation or other entity controlled by the Company.</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2.2</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an award granted pursuant to the Plan, the payment of which shall be contingent on the attainment of Performance Goals with respect to a Performance Period, as determined by the Committee pursuant to Section 6.1.</w:t>
      </w:r>
    </w:p>
    <w:p>
      <w:pPr>
        <w:pStyle w:val="TextBody"/>
        <w:bidi w:val="0"/>
        <w:spacing w:lineRule="auto" w:line="240" w:before="0" w:after="0"/>
        <w:jc w:val="left"/>
        <w:rPr>
          <w:color w:val="000000"/>
        </w:rPr>
      </w:pPr>
      <w:r>
        <w:rPr>
          <w:color w:val="000000"/>
        </w:rPr>
        <w:t>“”</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2.3</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the Company, as constituted from time to time.</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2.4</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shall have the meaning given to that term in any written employment agreement, change-of-control agreement, offer letter or severance agreement between the Company and the Participant, or if no such agreement exists or if such term is not defined therein, Cause shall mean that the Participant: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(i)has materially breached his or her employment or service contract with the Company, which breach has not been remedied by the Participant after written notice has been provided to the Participant of such breach;</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(ii)has engaged in disloyalty to the Company, including, without limitation, fraud, embezzlement, theft, commission of a felony or proven dishonesty which results in economic loss, damage, or injury to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has disclosed trade secrets or confidential information of the Company to persons not entitled to receive such information;</w:t>
      </w:r>
    </w:p>
    <w:p>
      <w:pPr>
        <w:pStyle w:val="TextBody"/>
        <w:bidi w:val="0"/>
        <w:spacing w:before="0" w:after="2"/>
        <w:ind w:left="0" w:right="0" w:firstLine="1080"/>
        <w:jc w:val="left"/>
        <w:rPr/>
      </w:pPr>
      <w:r>
        <w:rPr/>
      </w:r>
    </w:p>
    <w:p>
      <w:pPr>
        <w:pStyle w:val="TextBody"/>
        <w:bidi w:val="0"/>
        <w:spacing w:before="0" w:after="2"/>
        <w:ind w:left="0" w:right="0" w:firstLine="7"/>
        <w:jc w:val="left"/>
        <w:rPr/>
      </w:pPr>
      <w:r>
        <w:rPr/>
      </w:r>
    </w:p>
    <w:p>
      <w:pPr>
        <w:pStyle w:val="TextBody"/>
        <w:bidi w:val="0"/>
        <w:spacing w:before="0" w:after="2"/>
        <w:ind w:left="0" w:right="0" w:firstLine="7"/>
        <w:jc w:val="left"/>
        <w:rPr/>
      </w:pPr>
      <w:r>
        <w:rPr/>
      </w:r>
    </w:p>
    <w:p>
      <w:pPr>
        <w:pStyle w:val="TextBody"/>
        <w:bidi w:val="0"/>
        <w:spacing w:before="0" w:after="2"/>
        <w:ind w:left="0" w:right="0" w:firstLine="7"/>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5915"/>
                <wp:effectExtent l="0" t="0" r="0" b="0"/>
                <wp:wrapNone/>
                <wp:docPr id="32" name="Frame3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(iv)has breached any written non-competition or non-solicitation agreement between the Participant and the Company; or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(v)has engaged in gross misconduct or a willful and material violation of the Company’s policies and procedures that is injurious to the Company.</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the occurrence of any of the actions set forth in clauses (i) through (v) immediately above shall be determined by the Committee in good faith.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2.5</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 xml:space="preserve">means the U.S. Internal Revenue Code of 1986, as amended from time to time, including any regulations or authoritative guidance promulgated thereunder and successor provisions thereto.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2.6</w:t>
      </w:r>
      <w:r>
        <w:rPr>
          <w:color w:val="000000"/>
        </w:rPr>
        <w:t>“</w:t>
      </w:r>
      <w:r>
        <w:rPr>
          <w:rFonts w:ascii="Times New Roman;sans-serif" w:hAnsi="Times New Roman;sans-serif"/>
          <w:b/>
          <w:color w:val="000000"/>
          <w:sz w:val="24"/>
        </w:rPr>
        <w:t>Committee</w:t>
      </w:r>
      <w:r>
        <w:rPr>
          <w:color w:val="000000"/>
        </w:rPr>
        <w:t xml:space="preserve">” </w:t>
      </w:r>
      <w:r>
        <w:rPr>
          <w:rFonts w:ascii="Times New Roman;sans-serif" w:hAnsi="Times New Roman;sans-serif"/>
          <w:b w:val="false"/>
          <w:color w:val="000000"/>
          <w:sz w:val="24"/>
        </w:rPr>
        <w:t>means the committee appointed by the Board to administer the Plan pursuant to Section 3.1.</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2.7</w:t>
      </w: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 xml:space="preserve">means Haemonetics Corporation, a Massachusetts corporation, and any successor thereto. </w:t>
      </w:r>
    </w:p>
    <w:p>
      <w:pPr>
        <w:pStyle w:val="TextBody"/>
        <w:bidi w:val="0"/>
        <w:spacing w:lineRule="auto" w:line="240" w:before="0" w:after="0"/>
        <w:jc w:val="left"/>
        <w:rPr>
          <w:color w:val="000000"/>
        </w:rPr>
      </w:pPr>
      <w:r>
        <w:rPr>
          <w:color w:val="000000"/>
        </w:rPr>
        <w:t>“”</w:t>
      </w:r>
    </w:p>
    <w:p>
      <w:pPr>
        <w:pStyle w:val="TextBody"/>
        <w:bidi w:val="0"/>
        <w:spacing w:lineRule="auto" w:line="240" w:before="0" w:after="0"/>
        <w:jc w:val="left"/>
        <w:rPr>
          <w:color w:val="000000"/>
        </w:rPr>
      </w:pPr>
      <w:r>
        <w:rPr>
          <w:color w:val="000000"/>
        </w:rPr>
        <w:t>“”</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2.8</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 xml:space="preserve">means, unless otherwise defined in an employment agreement between the Participant and the Company, a condition whereby the Participant (i) is unable to engage in any substantial gainful activity by reason of any medically determinable physical or mental impairment which can be expected to result in death or can be expected to last for a continuous period of not less than 12 months; or (ii) is determined to be totally disabled by the Social Security Administration, provided that each qualifies as a disability within the meaning of Code Section 409A.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2.9</w:t>
      </w:r>
      <w:r>
        <w:rPr>
          <w:color w:val="000000"/>
        </w:rPr>
        <w:t>“</w:t>
      </w:r>
      <w:r>
        <w:rPr>
          <w:rFonts w:ascii="Times New Roman;sans-serif" w:hAnsi="Times New Roman;sans-serif"/>
          <w:b/>
          <w:color w:val="000000"/>
          <w:sz w:val="24"/>
        </w:rPr>
        <w:t>Forfeit</w:t>
      </w:r>
      <w:r>
        <w:rPr>
          <w:rFonts w:ascii="Times New Roman;sans-serif" w:hAnsi="Times New Roman;sans-serif"/>
          <w:b w:val="false"/>
          <w:color w:val="000000"/>
          <w:sz w:val="24"/>
        </w:rPr>
        <w:t>,” “</w:t>
      </w:r>
      <w:r>
        <w:rPr>
          <w:rFonts w:ascii="Times New Roman;sans-serif" w:hAnsi="Times New Roman;sans-serif"/>
          <w:b/>
          <w:color w:val="000000"/>
          <w:sz w:val="24"/>
        </w:rPr>
        <w:t>Forfeiture</w:t>
      </w:r>
      <w:r>
        <w:rPr>
          <w:rFonts w:ascii="Times New Roman;sans-serif" w:hAnsi="Times New Roman;sans-serif"/>
          <w:b w:val="false"/>
          <w:color w:val="000000"/>
          <w:sz w:val="24"/>
        </w:rPr>
        <w:t>,” or “</w:t>
      </w:r>
      <w:r>
        <w:rPr>
          <w:rFonts w:ascii="Times New Roman;sans-serif" w:hAnsi="Times New Roman;sans-serif"/>
          <w:b/>
          <w:color w:val="000000"/>
          <w:sz w:val="24"/>
        </w:rPr>
        <w:t>Forfeited</w:t>
      </w:r>
      <w:r>
        <w:rPr>
          <w:color w:val="000000"/>
        </w:rPr>
        <w:t xml:space="preserve">” </w:t>
      </w:r>
      <w:r>
        <w:rPr>
          <w:rFonts w:ascii="Times New Roman;sans-serif" w:hAnsi="Times New Roman;sans-serif"/>
          <w:b w:val="false"/>
          <w:color w:val="000000"/>
          <w:sz w:val="24"/>
        </w:rPr>
        <w:t xml:space="preserve">means the loss by a Participant of any and all rights to an award granted under the Plan, including the loss of any payment of compensation by the Company under the Plan or any Award granted thereunder.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2.10</w:t>
      </w:r>
      <w:r>
        <w:rPr>
          <w:color w:val="000000"/>
        </w:rPr>
        <w:t xml:space="preserve"> “</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means, as to any Performance Period, the CEO and other key employees of the Company who are designated by the Committee to participate in the Plan for that Performance Period.</w:t>
      </w:r>
    </w:p>
    <w:p>
      <w:pPr>
        <w:pStyle w:val="TextBody"/>
        <w:bidi w:val="0"/>
        <w:spacing w:lineRule="auto" w:line="240" w:before="0" w:after="0"/>
        <w:ind w:left="0" w:right="0" w:firstLine="576"/>
        <w:jc w:val="left"/>
        <w:rPr/>
      </w:pPr>
      <w:r>
        <w:rPr>
          <w:rFonts w:ascii="Times New Roman;sans-serif" w:hAnsi="Times New Roman;sans-serif"/>
          <w:b w:val="false"/>
          <w:color w:val="000000"/>
          <w:sz w:val="24"/>
        </w:rPr>
        <w:t>2.11</w:t>
      </w:r>
      <w:r>
        <w:rPr>
          <w:color w:val="000000"/>
        </w:rPr>
        <w:t>“</w:t>
      </w:r>
      <w:r>
        <w:rPr>
          <w:rFonts w:ascii="Times New Roman;sans-serif" w:hAnsi="Times New Roman;sans-serif"/>
          <w:b/>
          <w:color w:val="000000"/>
          <w:sz w:val="24"/>
        </w:rPr>
        <w:t>Performance Criteria</w:t>
      </w:r>
      <w:r>
        <w:rPr>
          <w:color w:val="000000"/>
        </w:rPr>
        <w:t xml:space="preserve">” </w:t>
      </w:r>
      <w:r>
        <w:rPr>
          <w:rFonts w:ascii="Times New Roman;sans-serif" w:hAnsi="Times New Roman;sans-serif"/>
          <w:b w:val="false"/>
          <w:color w:val="000000"/>
          <w:sz w:val="24"/>
        </w:rPr>
        <w:t xml:space="preserve">means the performance criteria upon which the Performance Goals for a particular Performance Period are based, which may include any of the following: </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revenue; (b) earnings per share; (c) operating income; (d) net income (before or after taxes); (e) cash flow (including, but not limited to, operating cash flow and free cash flow); (f) gross profit; (g) growth in any of the preceding measures; (h) gross profit return on investment; (i) gross margin return on investment; (j) working capital; (k) gross margins; (l) EBIT; (m) EBITDA; (n) return on equity; (o) return on assets; (p) return on capital; (q) revenue growth; (r) total shareholder return; (s) economic value added; (t) customer satisfaction; (u) technology leadership; (v) number of new </w:t>
        <w:br/>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5915"/>
                <wp:effectExtent l="0" t="0" r="0" b="0"/>
                <wp:wrapNone/>
                <wp:docPr id="33" name="Frame3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br/>
        <w:t>patents; (w) employee retention; (x) market share; (y) market segment share; (z) product release schedules; (aa) new product innovation; (bb) cost reduction through advanced technology; (cc) brand recognition/acceptance; (dd) product ship targets; (ee) corporate values measures that may be objectively determined, including, without limitation, with respect to product quality, human capital management and environment, health and safety; (ff) stock value; (gg) net earnings (before or after taxes); (hh) diluted earnings per share (before or after taxes); (ii) net revenues or net revenue growth; (jj) net operating profit (before or after taxes); (kk) return on invested capital or sales; (ll) cash flow return on capital; (mm) operating margins; (nn) improvements in capital structure; (oo) budget and expense management; (pp) productivity ratios; (qq) expense targets; (rr) margins; (ss) operating efficiency; (tt) working capital targets; (uu) enterprise value; (vv) safety record; and (ww) completion of acquisitions, business expansion, product diversification, new or expanded market penetration and other non-financial operating and management performance objectives.</w:t>
      </w:r>
    </w:p>
    <w:p>
      <w:pPr>
        <w:pStyle w:val="TextBody"/>
        <w:bidi w:val="0"/>
        <w:spacing w:before="0" w:after="0"/>
        <w:jc w:val="left"/>
        <w:rPr/>
      </w:pPr>
      <w:r>
        <w:rPr/>
      </w:r>
    </w:p>
    <w:p>
      <w:pPr>
        <w:pStyle w:val="TextBody"/>
        <w:bidi w:val="0"/>
        <w:spacing w:lineRule="auto" w:line="240" w:before="0" w:after="240"/>
        <w:ind w:left="0" w:right="0" w:firstLine="1296"/>
        <w:jc w:val="left"/>
        <w:rPr>
          <w:rFonts w:ascii="Times New Roman;sans-serif" w:hAnsi="Times New Roman;sans-serif"/>
          <w:b w:val="false"/>
          <w:color w:val="000000"/>
          <w:sz w:val="24"/>
        </w:rPr>
      </w:pPr>
      <w:r>
        <w:rPr>
          <w:rFonts w:ascii="Times New Roman;sans-serif" w:hAnsi="Times New Roman;sans-serif"/>
          <w:b w:val="false"/>
          <w:color w:val="000000"/>
          <w:sz w:val="24"/>
        </w:rPr>
        <w:t>Such Performance Criteria may relate to the performance of the Company as a whole, a business unit, division, department, individual or any combination of these and may be applied on an absolute basis and/or relative to one or more peer group companies or indices, or any combination thereof, using GAAP or non-GAAP accounting, as the Committee shall determine.</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2.12</w:t>
      </w:r>
      <w:r>
        <w:rPr>
          <w:color w:val="000000"/>
        </w:rPr>
        <w:t xml:space="preserve"> “</w:t>
      </w:r>
      <w:r>
        <w:rPr>
          <w:rFonts w:ascii="Times New Roman;sans-serif" w:hAnsi="Times New Roman;sans-serif"/>
          <w:b/>
          <w:color w:val="000000"/>
          <w:sz w:val="24"/>
        </w:rPr>
        <w:t>Performance Goals</w:t>
      </w:r>
      <w:r>
        <w:rPr>
          <w:color w:val="000000"/>
        </w:rPr>
        <w:t xml:space="preserve">” </w:t>
      </w:r>
      <w:r>
        <w:rPr>
          <w:rFonts w:ascii="Times New Roman;sans-serif" w:hAnsi="Times New Roman;sans-serif"/>
          <w:b w:val="false"/>
          <w:color w:val="000000"/>
          <w:sz w:val="24"/>
        </w:rPr>
        <w:t xml:space="preserve">means, in relation to any Performance Period, the level of performance that must be achieved with respect to one or more Performance Criteria.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2.13</w:t>
      </w:r>
      <w:r>
        <w:rPr>
          <w:color w:val="000000"/>
        </w:rPr>
        <w:t xml:space="preserve"> “</w:t>
      </w:r>
      <w:r>
        <w:rPr>
          <w:rFonts w:ascii="Times New Roman;sans-serif" w:hAnsi="Times New Roman;sans-serif"/>
          <w:b/>
          <w:color w:val="000000"/>
          <w:sz w:val="24"/>
        </w:rPr>
        <w:t>Performance Period</w:t>
      </w:r>
      <w:r>
        <w:rPr>
          <w:color w:val="000000"/>
        </w:rPr>
        <w:t xml:space="preserve">” </w:t>
      </w:r>
      <w:r>
        <w:rPr>
          <w:rFonts w:ascii="Times New Roman;sans-serif" w:hAnsi="Times New Roman;sans-serif"/>
          <w:b w:val="false"/>
          <w:color w:val="000000"/>
          <w:sz w:val="24"/>
        </w:rPr>
        <w:t xml:space="preserve">means the period for which performance is calculated, which shall be the Company’s fiscal year, or any period within the fiscal year of less than 12 months for which a Participant’s performance is being calculated, with each such period constituting a separate Performance Period.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2.14</w:t>
      </w:r>
      <w:r>
        <w:rPr>
          <w:color w:val="000000"/>
        </w:rPr>
        <w:t xml:space="preserve"> “</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 xml:space="preserve">means the Haemonetics Corporation Worldwide Employee Bonus Plan, as hereafter amended from time to time.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2.15</w:t>
      </w:r>
      <w:r>
        <w:rPr>
          <w:color w:val="000000"/>
        </w:rPr>
        <w:t xml:space="preserve"> “</w:t>
      </w:r>
      <w:r>
        <w:rPr>
          <w:rFonts w:ascii="Times New Roman;sans-serif" w:hAnsi="Times New Roman;sans-serif"/>
          <w:b/>
          <w:color w:val="000000"/>
          <w:sz w:val="24"/>
        </w:rPr>
        <w:t>Pro-rated Award</w:t>
      </w:r>
      <w:r>
        <w:rPr>
          <w:color w:val="000000"/>
        </w:rPr>
        <w:t xml:space="preserve">” </w:t>
      </w:r>
      <w:r>
        <w:rPr>
          <w:rFonts w:ascii="Times New Roman;sans-serif" w:hAnsi="Times New Roman;sans-serif"/>
          <w:b w:val="false"/>
          <w:color w:val="000000"/>
          <w:sz w:val="24"/>
        </w:rPr>
        <w:t xml:space="preserve">means an amount equal to the Award otherwise payable to the Participant for a Performance Period in which the Participant was actively employed by the Company or an Affiliate for only a portion thereof, multiplied by a fraction, the numerator of which is the number of days the Participant was actively employed by the Company or an Affiliate during the Performance Period and the denominator of which is the number of days in the Performance Period or such other method as determined by the Committee.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2.16</w:t>
      </w:r>
      <w:r>
        <w:rPr>
          <w:color w:val="000000"/>
        </w:rPr>
        <w:t xml:space="preserve"> “</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 xml:space="preserve">shall mean Section 409A of the Code and the regulations and other binding guidance promulgated thereunder. </w:t>
      </w:r>
    </w:p>
    <w:p>
      <w:pPr>
        <w:pStyle w:val="TextBody"/>
        <w:bidi w:val="0"/>
        <w:spacing w:before="0" w:after="2"/>
        <w:ind w:left="0" w:right="0" w:firstLine="93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5915"/>
                <wp:effectExtent l="0" t="0" r="0" b="0"/>
                <wp:wrapNone/>
                <wp:docPr id="34" name="Frame3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- 3 -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432"/>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shd w:fill="FFFFFF" w:val="clear"/>
        </w:rPr>
        <w:t>Administration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shd w:fill="FFFFFF" w:val="clear"/>
        </w:rPr>
        <w:t>Administration by the Committee</w:t>
      </w:r>
      <w:r>
        <w:rPr>
          <w:rFonts w:ascii="Times New Roman;sans-serif" w:hAnsi="Times New Roman;sans-serif"/>
          <w:b w:val="false"/>
          <w:color w:val="000000"/>
          <w:sz w:val="24"/>
        </w:rPr>
        <w:t>. The Plan shall be administered by the Compensation Committee of the Board of Directors or such other Committee appointed by the Board, which shall consist of not less than two non-employee members of the Board.</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shd w:fill="FFFFFF" w:val="clear"/>
        </w:rPr>
        <w:t>Authority of the Committee</w:t>
      </w:r>
      <w:r>
        <w:rPr>
          <w:rFonts w:ascii="Times New Roman;sans-serif" w:hAnsi="Times New Roman;sans-serif"/>
          <w:b w:val="false"/>
          <w:color w:val="000000"/>
          <w:sz w:val="24"/>
        </w:rPr>
        <w:t xml:space="preserve">. Subject to the provisions of the Plan and applicable law, the Committee shall have the power, in addition to other express powers and authorizations conferred on the Committee by the Plan, to (i) designate Participants; (ii) determine the terms and conditions of any Award; (iii) determine whether, to what extent, and under what circumstances Awards may be Forfeited or suspended; (iv) interpret, administer, reconcile any inconsistency or ambiguity, correct any defect and/or supply any omission in the Plan or any instrument or agreement relating to, or Award granted under, the Plan; (v) establish, amend, suspend, or waive any rules for the administration, interpretation and application of the Plan; (vi) adopt such procedures and subplans as are necessary or appropriate to permit participation in the Plan by employees who are foreign nationals or employed outside of the United States; and (vii) make any other determination and take any other action that the Committee deems necessary or desirable for the administration of the Plan.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shd w:fill="FFFFFF" w:val="clear"/>
        </w:rPr>
        <w:t>Decisions Binding</w:t>
      </w:r>
      <w:r>
        <w:rPr>
          <w:rFonts w:ascii="Times New Roman;sans-serif" w:hAnsi="Times New Roman;sans-serif"/>
          <w:b w:val="false"/>
          <w:color w:val="000000"/>
          <w:sz w:val="24"/>
        </w:rPr>
        <w:t xml:space="preserve">. All determinations and decisions made by the Committee, the Board, and any delegate of the Committee pursuant to the provisions of the Plan shall be final, conclusive and binding on all persons, and shall be given the maximum deference permitted by law.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3.4</w:t>
      </w:r>
      <w:r>
        <w:rPr>
          <w:rFonts w:ascii="Times New Roman;sans-serif" w:hAnsi="Times New Roman;sans-serif"/>
          <w:b w:val="false"/>
          <w:color w:val="000000"/>
          <w:sz w:val="24"/>
          <w:u w:val="single"/>
          <w:shd w:fill="FFFFFF" w:val="clear"/>
        </w:rPr>
        <w:t>Delegation by the Committee</w:t>
      </w:r>
      <w:r>
        <w:rPr>
          <w:rFonts w:ascii="Times New Roman;sans-serif" w:hAnsi="Times New Roman;sans-serif"/>
          <w:b w:val="false"/>
          <w:color w:val="000000"/>
          <w:sz w:val="24"/>
        </w:rPr>
        <w:t>. The Committee, in its sole discretion, may delegate all or part of its authority and powers under the Plan to one or more directors and/or officers of the Company. In the event of such delegation, all references to the Committee in the Plan shall be deemed references to such officers and/or directors as it relates to those aspects of the Plan that have been delegated.</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3.5</w:t>
      </w:r>
      <w:r>
        <w:rPr>
          <w:rFonts w:ascii="Times New Roman;sans-serif" w:hAnsi="Times New Roman;sans-serif"/>
          <w:b w:val="false"/>
          <w:color w:val="000000"/>
          <w:sz w:val="24"/>
          <w:u w:val="single"/>
          <w:shd w:fill="FFFFFF" w:val="clear"/>
        </w:rPr>
        <w:t>Agents; Limitation of Liability</w:t>
      </w:r>
      <w:r>
        <w:rPr>
          <w:rFonts w:ascii="Times New Roman;sans-serif" w:hAnsi="Times New Roman;sans-serif"/>
          <w:b w:val="false"/>
          <w:color w:val="000000"/>
          <w:sz w:val="24"/>
        </w:rPr>
        <w:t>. The Committee may appoint agents to assist in administering the Plan. The Committee and each member thereof shall be entitled to, in good faith, rely or act upon any report or other information furnished to it or to a member by any officer or employee of the Company, the Company’s certified public accountants, consultants or any other agent assisting in the administration of the Plan. Members of the Committee and any officer or employee of the Company acting at the direction or on behalf of the Committee shall not be personally liable for any action or determination taken or made in good faith with respect to the Plan, and shall, to the extent permitted by law and provided in the Company’s Articles of Organization or its By-Laws, as applicable, in each case as amended and in effect from time to time, be fully indemnified and protected by the Company with respect to any such action or determination.</w:t>
      </w:r>
    </w:p>
    <w:p>
      <w:pPr>
        <w:pStyle w:val="TextBody"/>
        <w:bidi w:val="0"/>
        <w:spacing w:lineRule="auto" w:line="240" w:before="0" w:after="240"/>
        <w:ind w:left="0" w:right="0" w:firstLine="432"/>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shd w:fill="FFFFFF" w:val="clear"/>
        </w:rPr>
        <w:t>Eligibility and Participation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shd w:fill="FFFFFF" w:val="clear"/>
        </w:rPr>
        <w:t>Eligibility</w:t>
      </w:r>
      <w:r>
        <w:rPr>
          <w:rFonts w:ascii="Times New Roman;sans-serif" w:hAnsi="Times New Roman;sans-serif"/>
          <w:b w:val="false"/>
          <w:color w:val="000000"/>
          <w:sz w:val="24"/>
        </w:rPr>
        <w:t>. Only Participants are eligible to participate in the Plan.</w:t>
      </w:r>
    </w:p>
    <w:p>
      <w:pPr>
        <w:pStyle w:val="TextBody"/>
        <w:bidi w:val="0"/>
        <w:spacing w:before="0" w:after="2"/>
        <w:ind w:left="0" w:right="0" w:firstLine="93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2"/>
        <w:ind w:left="0" w:right="0" w:firstLine="6"/>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5915"/>
                <wp:effectExtent l="0" t="0" r="0" b="0"/>
                <wp:wrapNone/>
                <wp:docPr id="35" name="Frame3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- 4 -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shd w:fill="FFFFFF" w:val="clear"/>
        </w:rPr>
        <w:t>Participation</w:t>
      </w:r>
      <w:r>
        <w:rPr>
          <w:rFonts w:ascii="Times New Roman;sans-serif" w:hAnsi="Times New Roman;sans-serif"/>
          <w:b w:val="false"/>
          <w:color w:val="000000"/>
          <w:sz w:val="24"/>
        </w:rPr>
        <w:t xml:space="preserve">. The Committee, in its discretion, shall select the persons who shall be Participants for the Performance Period. Only eligible individuals who are designated by the Committee to participate in the Plan with respect to a particular Performance Period may participate in the Plan for that Performance Period. An individual who is designated as a Participant for a given Performance Period is not guaranteed or ensured of being selected for participation in any subsequent Performance Period. </w:t>
      </w:r>
    </w:p>
    <w:p>
      <w:pPr>
        <w:pStyle w:val="TextBody"/>
        <w:bidi w:val="0"/>
        <w:spacing w:lineRule="auto" w:line="240" w:before="0" w:after="240"/>
        <w:ind w:left="0" w:right="0" w:firstLine="432"/>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shd w:fill="FFFFFF" w:val="clear"/>
        </w:rPr>
        <w:t>Terms of Awards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shd w:fill="FFFFFF" w:val="clear"/>
        </w:rPr>
        <w:t xml:space="preserve">Determination of </w:t>
      </w:r>
      <w:r>
        <w:rPr>
          <w:rFonts w:ascii="Times New Roman;sans-serif" w:hAnsi="Times New Roman;sans-serif"/>
          <w:b w:val="false"/>
          <w:color w:val="000000"/>
          <w:sz w:val="24"/>
          <w:u w:val="single"/>
        </w:rPr>
        <w:t>Awards</w:t>
      </w:r>
      <w:r>
        <w:rPr>
          <w:rFonts w:ascii="Times New Roman;sans-serif" w:hAnsi="Times New Roman;sans-serif"/>
          <w:b w:val="false"/>
          <w:color w:val="000000"/>
          <w:sz w:val="24"/>
        </w:rPr>
        <w:t>. The Committee, in its sole discretion, may, from time to time, make Awards to employees eligible for participation in the Plan pursuant to which the Participant may earn cash compensation. The amount of a Participant’s Award may be based on a percentage of such Participant’s salary or such other method as may be established by the Committee. The Performance Goals shall be based on one or more Performance Criteria, each of which may carry a different weight, and which may differ from Participant to Participant. Each Award shall be communicated to the Participant, and shall specify, among other things, the terms and conditions of the Award and the Performance Goals to be achieved. The maximum amount that may be awarded and paid under the Plan to a Participant for any Performance Period shall not exceed $3,000,000.</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shd w:fill="FFFFFF" w:val="clear"/>
        </w:rPr>
        <w:t>Additional Restrictions or Conditions</w:t>
      </w:r>
      <w:r>
        <w:rPr>
          <w:rFonts w:ascii="Times New Roman;sans-serif" w:hAnsi="Times New Roman;sans-serif"/>
          <w:b w:val="false"/>
          <w:color w:val="000000"/>
          <w:sz w:val="24"/>
        </w:rPr>
        <w:t>. The Committee, in its sole discretion, may also establish such additional restrictions or conditions that must be satisfied as a condition precedent to the payment of all or a portion of any Awards. Such additional restrictions and conditions need not be performance-based and may include, among other things, the receipt by a Participant of a specified annual performance rating, the continued employment by the Participant and/or the achievement of specified performance measures by the Company, business unit or Participant. Furthermore, and notwithstanding any provision of this Plan to the contrary, the Committee, in its sole discretion, may increase or decrease the amount of any Award granted pursuant to the Plan.</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5.3</w:t>
      </w:r>
      <w:r>
        <w:rPr>
          <w:rFonts w:ascii="Times New Roman;sans-serif" w:hAnsi="Times New Roman;sans-serif"/>
          <w:b w:val="false"/>
          <w:color w:val="000000"/>
          <w:sz w:val="24"/>
          <w:u w:val="single"/>
          <w:shd w:fill="FFFFFF" w:val="clear"/>
        </w:rPr>
        <w:t>Adjustments</w:t>
      </w:r>
      <w:r>
        <w:rPr>
          <w:rFonts w:ascii="Times New Roman;sans-serif" w:hAnsi="Times New Roman;sans-serif"/>
          <w:b w:val="false"/>
          <w:color w:val="000000"/>
          <w:sz w:val="24"/>
        </w:rPr>
        <w:t>. The Committee is authorized, in its sole discretion, to determine that certain adjustments shall apply, in whole or in part, in such manner as specified by the Committee, to exclude or include the effect of events that occur during a Performance Period, including, but not limited to, any one or more of the following events: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(a)asset write-downs;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(b)significant litigation or claim judgments or settlements;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(c)the effect of changes in tax laws, accounting standards or principles, or other laws or regulatory rules affecting reporting results;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(d)any reorganization and restructuring programs;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(e)unusual or infrequent items, including, but not limited to, such items as described in management’s discussion and analysis of financial condition and results </w:t>
        <w:br/>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5915"/>
                <wp:effectExtent l="0" t="0" r="0" b="0"/>
                <wp:wrapNone/>
                <wp:docPr id="36" name="Frame3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- 5 -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br/>
        <w:t xml:space="preserve">of operations appearing in the Company’s annual report to shareholders for the applicable year or period;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(f)acquisitions or divestitures;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(g)any other specific unusual or non-recurring events or objectively determinable category thereof;</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(h)foreign exchange gains and losses;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(i)a change in the Company’s fiscal year.</w:t>
      </w:r>
    </w:p>
    <w:p>
      <w:pPr>
        <w:pStyle w:val="TextBody"/>
        <w:bidi w:val="0"/>
        <w:spacing w:before="0" w:after="0"/>
        <w:jc w:val="left"/>
        <w:rPr/>
      </w:pPr>
      <w:r>
        <w:rPr/>
      </w:r>
    </w:p>
    <w:p>
      <w:pPr>
        <w:pStyle w:val="TextBody"/>
        <w:bidi w:val="0"/>
        <w:spacing w:lineRule="auto" w:line="240" w:before="0" w:after="240"/>
        <w:ind w:left="0" w:right="0" w:firstLine="432"/>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shd w:fill="FFFFFF" w:val="clear"/>
        </w:rPr>
        <w:t>Payment of Awards</w:t>
      </w:r>
      <w:r>
        <w:rPr>
          <w:rFonts w:ascii="Times New Roman;sans-serif" w:hAnsi="Times New Roman;sans-serif"/>
          <w:b w:val="false"/>
          <w:color w:val="000000"/>
          <w:sz w:val="24"/>
        </w:rPr>
        <w:t>.</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shd w:fill="FFFFFF" w:val="clear"/>
        </w:rPr>
        <w:t>Determination of Awards; Certification</w:t>
      </w:r>
      <w:r>
        <w:rPr>
          <w:rFonts w:ascii="Times New Roman;sans-serif" w:hAnsi="Times New Roman;sans-serif"/>
          <w:b w:val="false"/>
          <w:color w:val="000000"/>
          <w:sz w:val="24"/>
        </w:rPr>
        <w:t xml:space="preserv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Following the completion of each Performance Period, and prior to March 15 of the calendar year immediately following the end of the Performance Period, the Committee shall determine the extent to which the Performance Goals for each Participant for the Performance Period have been achieved or exceeded and the resulting amount of the Award (if any) payable to each Participant, including any application of the Committee’s discretionary authority described herein. No payment shall be made under the Plan if the minimum performance goals as established by the Committee are not attained.</w:t>
      </w:r>
    </w:p>
    <w:p>
      <w:pPr>
        <w:pStyle w:val="TextBody"/>
        <w:bidi w:val="0"/>
        <w:spacing w:before="0" w:after="0"/>
        <w:jc w:val="left"/>
        <w:rPr/>
      </w:pPr>
      <w:r>
        <w:rPr/>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shd w:fill="FFFFFF" w:val="clear"/>
        </w:rPr>
        <w:t>Form and Timing of Payment</w:t>
      </w:r>
      <w:r>
        <w:rPr>
          <w:rFonts w:ascii="Times New Roman;sans-serif" w:hAnsi="Times New Roman;sans-serif"/>
          <w:b w:val="false"/>
          <w:color w:val="000000"/>
          <w:sz w:val="24"/>
        </w:rPr>
        <w:t xml:space="preserve">. Except as otherwise provided herein, as soon as practicable following the Committee’s certification pursuant to Section 6.1 for the applicable Performance Period, and in no event later than March 15 of the calendar year following the end of the Performance Period, each Participant shall receive a cash lump-sum payment of his or her Award, less required withholding.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shd w:fill="FFFFFF" w:val="clear"/>
        </w:rPr>
        <w:t>Employment Requirement</w:t>
      </w:r>
      <w:r>
        <w:rPr>
          <w:rFonts w:ascii="Times New Roman;sans-serif" w:hAnsi="Times New Roman;sans-serif"/>
          <w:b w:val="false"/>
          <w:color w:val="000000"/>
          <w:sz w:val="24"/>
        </w:rPr>
        <w:t>. Except as otherwise provided in Section 7, no Award shall be paid to any Participant who is not actively employed by the Company or an Affiliate, or on an approved leave of absence or long-term Disability leave, on the last day of the Performance Period.</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shd w:fill="FFFFFF" w:val="clear"/>
        </w:rPr>
        <w:t>Deferral of Awards</w:t>
      </w:r>
      <w:r>
        <w:rPr>
          <w:rFonts w:ascii="Times New Roman;sans-serif" w:hAnsi="Times New Roman;sans-serif"/>
          <w:b w:val="false"/>
          <w:color w:val="000000"/>
          <w:sz w:val="24"/>
        </w:rPr>
        <w:t>. The Committee, in its sole discretion, may permit a Participant to defer the payment of an Award that would otherwise be paid under the Plan. Any deferral election shall be subject to Section 409A and such rules and procedures as shall be determined by the Committee in its sole discretion.</w:t>
      </w:r>
    </w:p>
    <w:p>
      <w:pPr>
        <w:pStyle w:val="TextBody"/>
        <w:bidi w:val="0"/>
        <w:spacing w:lineRule="auto" w:line="240" w:before="0" w:after="240"/>
        <w:ind w:left="0" w:right="0" w:firstLine="432"/>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shd w:fill="FFFFFF" w:val="clear"/>
        </w:rPr>
        <w:t>Termination of Employment</w:t>
      </w:r>
      <w:r>
        <w:rPr>
          <w:rFonts w:ascii="Times New Roman;sans-serif" w:hAnsi="Times New Roman;sans-serif"/>
          <w:b w:val="false"/>
          <w:color w:val="000000"/>
          <w:sz w:val="24"/>
        </w:rPr>
        <w:t>.</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7.1</w:t>
      </w:r>
      <w:r>
        <w:rPr>
          <w:rFonts w:ascii="Times New Roman;sans-serif" w:hAnsi="Times New Roman;sans-serif"/>
          <w:b w:val="false"/>
          <w:color w:val="000000"/>
          <w:sz w:val="24"/>
          <w:u w:val="single"/>
          <w:shd w:fill="FFFFFF" w:val="clear"/>
        </w:rPr>
        <w:t>Employment Requirement</w:t>
      </w:r>
      <w:r>
        <w:rPr>
          <w:rFonts w:ascii="Times New Roman;sans-serif" w:hAnsi="Times New Roman;sans-serif"/>
          <w:b w:val="false"/>
          <w:color w:val="000000"/>
          <w:sz w:val="24"/>
        </w:rPr>
        <w:t xml:space="preserve">. Except as otherwise provided in Section 7.2, or pursuant to any written employment agreement, change-of-control agreement, offer letter or severance agreement between the Company and the Participant, if a Participant’s employment terminates for any reason prior to the last day of the Performance Period, all of the Participant’s rights to an Award for the Performance Period shall be Forfeited. However,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5915"/>
                <wp:effectExtent l="0" t="0" r="0" b="0"/>
                <wp:wrapNone/>
                <wp:docPr id="37" name="Frame3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- 6 -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br/>
        <w:t>the Committee, in its sole discretion, may pay a Pro-rated Award, subject to the Committee’s certification that the Performance Goals for the Performance Period have been met. Such Pro-rated Award will be paid at the same time and in the same manner as Awards are paid to other Participants or such other time as permitted by the Committee. Notwithstanding the foregoing, if a Participant’s employment is terminated for Cause, the Participant shall in all cases Forfeit any Award not already paid.</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7.2</w:t>
      </w:r>
      <w:r>
        <w:rPr>
          <w:rFonts w:ascii="Times New Roman;sans-serif" w:hAnsi="Times New Roman;sans-serif"/>
          <w:b w:val="false"/>
          <w:color w:val="000000"/>
          <w:sz w:val="24"/>
          <w:u w:val="single"/>
          <w:shd w:fill="FFFFFF" w:val="clear"/>
        </w:rPr>
        <w:t>Termination of Employment Due to Death or Disability</w:t>
      </w:r>
      <w:r>
        <w:rPr>
          <w:rFonts w:ascii="Times New Roman;sans-serif" w:hAnsi="Times New Roman;sans-serif"/>
          <w:b w:val="false"/>
          <w:color w:val="000000"/>
          <w:sz w:val="24"/>
        </w:rPr>
        <w:t xml:space="preserve">. If a Participant’s employment is terminated by reason of his or her death or Disability during a Performance Period the Participant or his or her beneficiary will be paid a Pro-rated Award. In the case of a Participant’s Disability, the employment termination shall be deemed to have occurred on the date that the Committee determines that the Participant is Disabled. Payment of such Pro-rated Award will be made at the same time and in the same manner as Awards are paid to other Participants. </w:t>
      </w:r>
    </w:p>
    <w:p>
      <w:pPr>
        <w:pStyle w:val="TextBody"/>
        <w:bidi w:val="0"/>
        <w:spacing w:before="0" w:after="0"/>
        <w:jc w:val="left"/>
        <w:rPr/>
      </w:pPr>
      <w:r>
        <w:rPr/>
      </w:r>
    </w:p>
    <w:p>
      <w:pPr>
        <w:pStyle w:val="TextBody"/>
        <w:bidi w:val="0"/>
        <w:spacing w:lineRule="auto" w:line="240" w:before="0" w:after="240"/>
        <w:ind w:left="0" w:right="0" w:firstLine="432"/>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shd w:fill="FFFFFF" w:val="clear"/>
        </w:rPr>
        <w:t>General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w:t>
      </w:r>
      <w:r>
        <w:rPr>
          <w:rFonts w:ascii="Times New Roman;sans-serif" w:hAnsi="Times New Roman;sans-serif"/>
          <w:b w:val="false"/>
          <w:color w:val="000000"/>
          <w:sz w:val="24"/>
          <w:u w:val="single"/>
          <w:shd w:fill="FFFFFF" w:val="clear"/>
        </w:rPr>
        <w:t>Compliance with Legal Requirements</w:t>
      </w:r>
      <w:r>
        <w:rPr>
          <w:rFonts w:ascii="Times New Roman;sans-serif" w:hAnsi="Times New Roman;sans-serif"/>
          <w:b w:val="false"/>
          <w:color w:val="000000"/>
          <w:sz w:val="24"/>
        </w:rPr>
        <w:t xml:space="preserve">. The Plan and the granting of Awards shall be subject to all applicable federal and state laws, rules and regulations, and to such approvals by any regulatory or governmental agency as may be required.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8.2</w:t>
      </w:r>
      <w:r>
        <w:rPr>
          <w:rFonts w:ascii="Times New Roman;sans-serif" w:hAnsi="Times New Roman;sans-serif"/>
          <w:b w:val="false"/>
          <w:color w:val="000000"/>
          <w:sz w:val="24"/>
          <w:u w:val="single"/>
          <w:shd w:fill="FFFFFF" w:val="clear"/>
        </w:rPr>
        <w:t>Non-transferability</w:t>
      </w:r>
      <w:r>
        <w:rPr>
          <w:rFonts w:ascii="Times New Roman;sans-serif" w:hAnsi="Times New Roman;sans-serif"/>
          <w:b w:val="false"/>
          <w:color w:val="000000"/>
          <w:sz w:val="24"/>
        </w:rPr>
        <w:t xml:space="preserve">. A person’s rights and interests under the Plan, including any Award previously made to such person or any amounts payable under the Plan may not be assigned, pledged, or transferred, except in the event of the Participant’s death, to a designated beneficiary in accordance with the Plan, or in the absence of such designation, by will or the laws of descent or distribution.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8.3</w:t>
      </w:r>
      <w:r>
        <w:rPr>
          <w:rFonts w:ascii="Times New Roman;sans-serif" w:hAnsi="Times New Roman;sans-serif"/>
          <w:b w:val="false"/>
          <w:color w:val="000000"/>
          <w:sz w:val="24"/>
          <w:u w:val="single"/>
          <w:shd w:fill="FFFFFF" w:val="clear"/>
        </w:rPr>
        <w:t>No Right to Employment</w:t>
      </w:r>
      <w:r>
        <w:rPr>
          <w:rFonts w:ascii="Times New Roman;sans-serif" w:hAnsi="Times New Roman;sans-serif"/>
          <w:b w:val="false"/>
          <w:color w:val="000000"/>
          <w:sz w:val="24"/>
        </w:rPr>
        <w:t xml:space="preserve">. Nothing in the Plan or in any notice of Award shall confer upon any person the right to continue in the employment or service of the Company or any Affiliate or affect the right of the Company or any Affiliate to terminate the employment of any Participant.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8.4</w:t>
      </w:r>
      <w:r>
        <w:rPr>
          <w:rFonts w:ascii="Times New Roman;sans-serif" w:hAnsi="Times New Roman;sans-serif"/>
          <w:b w:val="false"/>
          <w:color w:val="000000"/>
          <w:sz w:val="24"/>
          <w:u w:val="single"/>
          <w:shd w:fill="FFFFFF" w:val="clear"/>
        </w:rPr>
        <w:t>No Right to Award</w:t>
      </w:r>
      <w:r>
        <w:rPr>
          <w:rFonts w:ascii="Times New Roman;sans-serif" w:hAnsi="Times New Roman;sans-serif"/>
          <w:b w:val="false"/>
          <w:color w:val="000000"/>
          <w:sz w:val="24"/>
        </w:rPr>
        <w:t xml:space="preserve">. Unless otherwise expressly set forth in an employment agreement signed by the Company and a Participant, a Participant shall not have any right to any Award under the Plan until such Award has been paid to such Participant and participation in the Plan in one Performance Period year does not connote any right to become a Participant in the Plan in any future Performance Period.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8.5</w:t>
      </w:r>
      <w:r>
        <w:rPr>
          <w:rFonts w:ascii="Times New Roman;sans-serif" w:hAnsi="Times New Roman;sans-serif"/>
          <w:b w:val="false"/>
          <w:color w:val="000000"/>
          <w:sz w:val="24"/>
          <w:u w:val="single"/>
          <w:shd w:fill="FFFFFF" w:val="clear"/>
        </w:rPr>
        <w:t>Withholding</w:t>
      </w:r>
      <w:r>
        <w:rPr>
          <w:rFonts w:ascii="Times New Roman;sans-serif" w:hAnsi="Times New Roman;sans-serif"/>
          <w:b w:val="false"/>
          <w:color w:val="000000"/>
          <w:sz w:val="24"/>
        </w:rPr>
        <w:t xml:space="preserve">. The Company shall have the right to withhold from any Award, any federal, state or local income and/or payroll taxes required by law to be withheld and to take such other action as the Committee may deem advisable to enable the Company and Participants to satisfy obligations for the payment of withholding taxes and other tax obligations relating to an Award.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8.6</w:t>
      </w:r>
      <w:r>
        <w:rPr>
          <w:rFonts w:ascii="Times New Roman;sans-serif" w:hAnsi="Times New Roman;sans-serif"/>
          <w:b w:val="false"/>
          <w:color w:val="000000"/>
          <w:sz w:val="24"/>
          <w:u w:val="single"/>
          <w:shd w:fill="FFFFFF" w:val="clear"/>
        </w:rPr>
        <w:t>Amendment or Termination of the Plan</w:t>
      </w:r>
      <w:r>
        <w:rPr>
          <w:rFonts w:ascii="Times New Roman;sans-serif" w:hAnsi="Times New Roman;sans-serif"/>
          <w:b w:val="false"/>
          <w:color w:val="000000"/>
          <w:sz w:val="24"/>
        </w:rPr>
        <w:t xml:space="preserve">. The Board or the Committee may, at any time, amend, modify, suspend or terminate the Plan in whole or in part. Notwithstanding the foregoing, no such amendment, modification, suspension or termination shall materially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5915"/>
                <wp:effectExtent l="0" t="0" r="0" b="0"/>
                <wp:wrapNone/>
                <wp:docPr id="38" name="Frame3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- 7 -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br/>
        <w:t xml:space="preserve">and adversely affect the rights of any Participant to any payment of Awards that have been determined by the Committee to be due and owing to the Participant under the Plan but not yet paid prior to such amendment, modification, suspension or termination.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8.7</w:t>
      </w:r>
      <w:r>
        <w:rPr>
          <w:rFonts w:ascii="Times New Roman;sans-serif" w:hAnsi="Times New Roman;sans-serif"/>
          <w:b w:val="false"/>
          <w:color w:val="000000"/>
          <w:sz w:val="24"/>
          <w:u w:val="single"/>
          <w:shd w:fill="FFFFFF" w:val="clear"/>
        </w:rPr>
        <w:t>Unfunded Status</w:t>
      </w:r>
      <w:r>
        <w:rPr>
          <w:rFonts w:ascii="Times New Roman;sans-serif" w:hAnsi="Times New Roman;sans-serif"/>
          <w:b w:val="false"/>
          <w:color w:val="000000"/>
          <w:sz w:val="24"/>
        </w:rPr>
        <w:t xml:space="preserve">. Nothing contained in the Plan, and no action taken pursuant to its provisions, shall create or be construed to create a trust of any kind or a fiduciary relationship between the Company and any Participant, beneficiary or legal representative or any other person. To the extent that a person acquires a right to receive payments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ensure payment of such amounts except as expressly set forth in the Plan. The Plan is not intended to be subject to the Employee Retirement Income Security Act of 1974, as amended.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8.8</w:t>
      </w:r>
      <w:r>
        <w:rPr>
          <w:rFonts w:ascii="Times New Roman;sans-serif" w:hAnsi="Times New Roman;sans-serif"/>
          <w:b w:val="false"/>
          <w:color w:val="000000"/>
          <w:sz w:val="24"/>
          <w:u w:val="single"/>
          <w:shd w:fill="FFFFFF" w:val="clear"/>
        </w:rPr>
        <w:t>Governing Law</w:t>
      </w:r>
      <w:r>
        <w:rPr>
          <w:rFonts w:ascii="Times New Roman;sans-serif" w:hAnsi="Times New Roman;sans-serif"/>
          <w:b w:val="false"/>
          <w:color w:val="000000"/>
          <w:sz w:val="24"/>
        </w:rPr>
        <w:t xml:space="preserve">. The Plan shall be construed, administered and enforced in accordance with the laws of the Commonwealth of Massachusetts without regard to conflicts of law.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8.9</w:t>
      </w:r>
      <w:r>
        <w:rPr>
          <w:rFonts w:ascii="Times New Roman;sans-serif" w:hAnsi="Times New Roman;sans-serif"/>
          <w:b w:val="false"/>
          <w:color w:val="000000"/>
          <w:sz w:val="24"/>
          <w:u w:val="single"/>
          <w:shd w:fill="FFFFFF" w:val="clear"/>
        </w:rPr>
        <w:t>Beneficiaries</w:t>
      </w:r>
      <w:r>
        <w:rPr>
          <w:rFonts w:ascii="Times New Roman;sans-serif" w:hAnsi="Times New Roman;sans-serif"/>
          <w:b w:val="false"/>
          <w:color w:val="000000"/>
          <w:sz w:val="24"/>
        </w:rPr>
        <w:t xml:space="preserve">. To the extent that the Committee permits beneficiary designations, any payment of Awards due under the Plan to a deceased Participant shall be paid to the beneficiary duly designated by the Participant in accordance with the Company’s practices. If no such beneficiary has been designated or survives the Participant, payment shall be made by will or the laws of descent or distribution.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8.10</w:t>
      </w:r>
      <w:r>
        <w:rPr>
          <w:color w:val="000000"/>
          <w:shd w:fill="FFFFFF" w:val="clear"/>
        </w:rPr>
        <w:t xml:space="preserve"> </w:t>
      </w:r>
      <w:r>
        <w:rPr>
          <w:rFonts w:ascii="Times New Roman;sans-serif" w:hAnsi="Times New Roman;sans-serif"/>
          <w:b w:val="false"/>
          <w:color w:val="000000"/>
          <w:sz w:val="24"/>
          <w:u w:val="single"/>
          <w:shd w:fill="FFFFFF" w:val="clear"/>
        </w:rPr>
        <w:t>Section 409A</w:t>
      </w:r>
      <w:r>
        <w:rPr>
          <w:rFonts w:ascii="Times New Roman;sans-serif" w:hAnsi="Times New Roman;sans-serif"/>
          <w:b w:val="false"/>
          <w:color w:val="000000"/>
          <w:sz w:val="24"/>
        </w:rPr>
        <w:t xml:space="preserve">. It is intended that payments under the Plan qualify as short-term deferrals exempt from the requirements of Section 409A and the Plan, and Awards under the Plan shall be interpreted, administered and construed accordingly. In the event, however, that any Award does not qualify for treatment as an exempt short-term deferral, it is intended that such amount will be paid in a manner that satisfies the requirements of Section 409A and the Plan, and Awards under the Plan shall be interpreted, operated and construed accordingly. If an Award is subject to Section 409A, (i) distributions shall only be made in a manner and upon an event permitted under Section 409A, (ii) payments to be made upon a termination of employment shall only be made upon a “separation from service” under Section 409A, (iii) each installment payment shall be treated as a separate payment for purposes of Section 409A and (iv) in no event shall a Participant, directly or indirectly, designate the calendar year in which a distribution is to be made, except in accordance with Section 409A. Any Award granted under the Plan that is subject to Section 409A, and that is to be distributed to a key employee (as defined for this purpose below) upon separation from service shall be postponed for six months following the date of the Participant’s separation from service, if required by Section 409A. The determination of key employees shall be made in accordance with Section 416(i) of the Code and the “specified employee” requirements of Section 409A. Notwithstanding anything herein to the contrary, in no event shall the Company be liable for the payment of any taxes and/or penalties by the Participant pursuant to Section 409A. None of the Company, any Affiliates, the Board and/or the Committee makes any representation regarding compliance with Section 409A and each of </w:t>
        <w:br/>
        <w:br/>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5915"/>
                <wp:effectExtent l="0" t="0" r="0" b="0"/>
                <wp:wrapNone/>
                <wp:docPr id="39" name="Frame3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- 8 -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br/>
        <w:t>them expressly disclaims any covenant to maintain favorable or avoid unfavorable tax treatment.</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8.11</w:t>
      </w:r>
      <w:r>
        <w:rPr>
          <w:color w:val="000000"/>
          <w:shd w:fill="FFFFFF" w:val="clear"/>
        </w:rPr>
        <w:t xml:space="preserve"> </w:t>
      </w:r>
      <w:r>
        <w:rPr>
          <w:rFonts w:ascii="Times New Roman;sans-serif" w:hAnsi="Times New Roman;sans-serif"/>
          <w:b w:val="false"/>
          <w:color w:val="000000"/>
          <w:sz w:val="24"/>
          <w:u w:val="single"/>
          <w:shd w:fill="FFFFFF" w:val="clear"/>
        </w:rPr>
        <w:t>Expenses</w:t>
      </w:r>
      <w:r>
        <w:rPr>
          <w:rFonts w:ascii="Times New Roman;sans-serif" w:hAnsi="Times New Roman;sans-serif"/>
          <w:b w:val="false"/>
          <w:color w:val="000000"/>
          <w:sz w:val="24"/>
        </w:rPr>
        <w:t xml:space="preserve">. All costs and expenses in connection with the administration of the Plan shall be paid by the Company.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8.12</w:t>
      </w:r>
      <w:r>
        <w:rPr>
          <w:color w:val="000000"/>
          <w:shd w:fill="FFFFFF" w:val="clear"/>
        </w:rPr>
        <w:t xml:space="preserve"> </w:t>
      </w:r>
      <w:r>
        <w:rPr>
          <w:rFonts w:ascii="Times New Roman;sans-serif" w:hAnsi="Times New Roman;sans-serif"/>
          <w:b w:val="false"/>
          <w:color w:val="000000"/>
          <w:sz w:val="24"/>
          <w:u w:val="single"/>
          <w:shd w:fill="FFFFFF" w:val="clear"/>
        </w:rPr>
        <w:t>Section Headings</w:t>
      </w:r>
      <w:r>
        <w:rPr>
          <w:rFonts w:ascii="Times New Roman;sans-serif" w:hAnsi="Times New Roman;sans-serif"/>
          <w:b w:val="false"/>
          <w:color w:val="000000"/>
          <w:sz w:val="24"/>
        </w:rPr>
        <w:t xml:space="preserve">. The headings of the Plan have been inserted for convenience of reference only and in the event of any conflict, the text of the Plan, rather than such headings, shall control.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8.13</w:t>
      </w:r>
      <w:r>
        <w:rPr>
          <w:color w:val="000000"/>
          <w:shd w:fill="FFFFFF" w:val="clear"/>
        </w:rPr>
        <w:t xml:space="preserve"> </w:t>
      </w:r>
      <w:r>
        <w:rPr>
          <w:rFonts w:ascii="Times New Roman;sans-serif" w:hAnsi="Times New Roman;sans-serif"/>
          <w:b w:val="false"/>
          <w:color w:val="000000"/>
          <w:sz w:val="24"/>
          <w:u w:val="single"/>
          <w:shd w:fill="FFFFFF" w:val="clear"/>
        </w:rPr>
        <w:t>Severability</w:t>
      </w:r>
      <w:r>
        <w:rPr>
          <w:rFonts w:ascii="Times New Roman;sans-serif" w:hAnsi="Times New Roman;sans-serif"/>
          <w:b w:val="false"/>
          <w:color w:val="000000"/>
          <w:sz w:val="24"/>
        </w:rPr>
        <w:t>. In the event that any provision of the Plan shall be considered illegal or invalid for any reason, such illegality or invalidity shall not affect the remaining provisions of the Plan, but shall be fully severable, and the Plan shall be construed and enforced as if such illegal or invalid provision had never been contained therein.</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8.14</w:t>
      </w:r>
      <w:r>
        <w:rPr>
          <w:color w:val="000000"/>
          <w:shd w:fill="FFFFFF" w:val="clear"/>
        </w:rPr>
        <w:t xml:space="preserve"> </w:t>
      </w:r>
      <w:r>
        <w:rPr>
          <w:rFonts w:ascii="Times New Roman;sans-serif" w:hAnsi="Times New Roman;sans-serif"/>
          <w:b w:val="false"/>
          <w:color w:val="000000"/>
          <w:sz w:val="24"/>
          <w:u w:val="single"/>
          <w:shd w:fill="FFFFFF" w:val="clear"/>
        </w:rPr>
        <w:t>Gender and Number</w:t>
      </w:r>
      <w:r>
        <w:rPr>
          <w:rFonts w:ascii="Times New Roman;sans-serif" w:hAnsi="Times New Roman;sans-serif"/>
          <w:b w:val="false"/>
          <w:color w:val="000000"/>
          <w:sz w:val="24"/>
        </w:rPr>
        <w:t xml:space="preserve">. Except where otherwise indicated by the context, wherever used, the masculine pronoun includes the feminine pronoun; the plural shall include the singular, and the singular shall include the plural.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8.15</w:t>
      </w:r>
      <w:r>
        <w:rPr>
          <w:color w:val="000000"/>
          <w:shd w:fill="FFFFFF" w:val="clear"/>
        </w:rPr>
        <w:t xml:space="preserve"> </w:t>
      </w:r>
      <w:r>
        <w:rPr>
          <w:rFonts w:ascii="Times New Roman;sans-serif" w:hAnsi="Times New Roman;sans-serif"/>
          <w:b w:val="false"/>
          <w:color w:val="000000"/>
          <w:sz w:val="24"/>
          <w:u w:val="single"/>
          <w:shd w:fill="FFFFFF" w:val="clear"/>
        </w:rPr>
        <w:t>Non-exclusive</w:t>
      </w:r>
      <w:r>
        <w:rPr>
          <w:rFonts w:ascii="Times New Roman;sans-serif" w:hAnsi="Times New Roman;sans-serif"/>
          <w:b w:val="false"/>
          <w:color w:val="000000"/>
          <w:sz w:val="24"/>
        </w:rPr>
        <w:t xml:space="preserve">. Nothing in the Plan shall limit the authority of the Company, the Board or the Committee to adopt such other compensation arrangements, as it may deem desirable for any Participant.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8.16</w:t>
      </w:r>
      <w:r>
        <w:rPr>
          <w:color w:val="000000"/>
          <w:shd w:fill="FFFFFF" w:val="clear"/>
        </w:rPr>
        <w:t xml:space="preserve"> </w:t>
      </w:r>
      <w:r>
        <w:rPr>
          <w:rFonts w:ascii="Times New Roman;sans-serif" w:hAnsi="Times New Roman;sans-serif"/>
          <w:b w:val="false"/>
          <w:color w:val="000000"/>
          <w:sz w:val="24"/>
          <w:u w:val="single"/>
          <w:shd w:fill="FFFFFF" w:val="clear"/>
        </w:rPr>
        <w:t>Notice</w:t>
      </w:r>
      <w:r>
        <w:rPr>
          <w:rFonts w:ascii="Times New Roman;sans-serif" w:hAnsi="Times New Roman;sans-serif"/>
          <w:b w:val="false"/>
          <w:color w:val="000000"/>
          <w:sz w:val="24"/>
        </w:rPr>
        <w:t>. Any notice to be given to the Company or the Committee pursuant to the provisions of the Plan shall be in writing and directed to the Secretary of the Company at 125 Summer Street, Boston, MA 02110.</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8.17</w:t>
      </w:r>
      <w:r>
        <w:rPr>
          <w:color w:val="000000"/>
          <w:shd w:fill="FFFFFF" w:val="clear"/>
        </w:rPr>
        <w:t xml:space="preserve"> </w:t>
      </w:r>
      <w:r>
        <w:rPr>
          <w:rFonts w:ascii="Times New Roman;sans-serif" w:hAnsi="Times New Roman;sans-serif"/>
          <w:b w:val="false"/>
          <w:color w:val="000000"/>
          <w:sz w:val="24"/>
          <w:u w:val="single"/>
          <w:shd w:fill="FFFFFF" w:val="clear"/>
        </w:rPr>
        <w:t>Successors</w:t>
      </w:r>
      <w:r>
        <w:rPr>
          <w:rFonts w:ascii="Times New Roman;sans-serif" w:hAnsi="Times New Roman;sans-serif"/>
          <w:b w:val="false"/>
          <w:color w:val="000000"/>
          <w:sz w:val="24"/>
        </w:rPr>
        <w:t xml:space="preserve">. All obligations of the Company under the Plan with respect to Awards granted hereunder shall be binding upon any successor to the Company, whether the existence of such successor is the result of a direct or indirect purchase, merger, consolidation or otherwise, of all or substantially all of the assets of the Company. </w:t>
      </w:r>
    </w:p>
    <w:p>
      <w:pPr>
        <w:pStyle w:val="TextBody"/>
        <w:bidi w:val="0"/>
        <w:spacing w:lineRule="auto" w:line="240" w:before="0" w:after="240"/>
        <w:ind w:left="0" w:right="0" w:firstLine="576"/>
        <w:jc w:val="left"/>
        <w:rPr/>
      </w:pPr>
      <w:r>
        <w:rPr>
          <w:rFonts w:ascii="Times New Roman;sans-serif" w:hAnsi="Times New Roman;sans-serif"/>
          <w:b w:val="false"/>
          <w:color w:val="000000"/>
          <w:sz w:val="24"/>
        </w:rPr>
        <w:t>8.18</w:t>
      </w:r>
      <w:r>
        <w:rPr>
          <w:color w:val="000000"/>
          <w:shd w:fill="FFFFFF" w:val="clear"/>
        </w:rPr>
        <w:t xml:space="preserve"> </w:t>
      </w:r>
      <w:r>
        <w:rPr>
          <w:rFonts w:ascii="Times New Roman;sans-serif" w:hAnsi="Times New Roman;sans-serif"/>
          <w:b w:val="false"/>
          <w:color w:val="000000"/>
          <w:sz w:val="24"/>
          <w:u w:val="single"/>
          <w:shd w:fill="FFFFFF" w:val="clear"/>
        </w:rPr>
        <w:t>Clawback</w:t>
      </w:r>
      <w:r>
        <w:rPr>
          <w:rFonts w:ascii="Times New Roman;sans-serif" w:hAnsi="Times New Roman;sans-serif"/>
          <w:b w:val="false"/>
          <w:color w:val="000000"/>
          <w:sz w:val="24"/>
        </w:rPr>
        <w:t xml:space="preserve">. Notwithstanding any other provision in the Plan, any Award granted hereunder which is or becomes subject to Forfeiture or recovery under any Company policy, including the Company’s Clawback Policy as set forth in the Principles of Corporate Governance or as in effect from time to time, and any successor policy or otherwise, including as required by law, regulation or stock exchange listing requirement, as may be in effect from time to time, shall be subject to such deductions, recoupment, and clawback as may be required to be made pursuant to such policy, whether approved before or after the date of grant of any Award. In the event of a clawback, recoupment or forfeiture event under an applicable clawback policy (including without limitation a clawback policy required to be implemented by the applicable stock exchange), the amount required to be clawed back, recouped or forfeited pursuant to such policy shall be deemed not to have been earned under the terms of the Plan, and the Company shall be entitled to recover from the Participant the amount specified under the policy to be clawed back, recouped or forfeited. By accepting Awards under the Plan, Participants agree and acknowledge that they are obligated to cooperate with, and provide any and all assistance necessary to, the Company to recover or recoup any Award or amount paid under the Plan subject to clawback pursuant to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5915"/>
                <wp:effectExtent l="0" t="0" r="0" b="0"/>
                <wp:wrapNone/>
                <wp:docPr id="40" name="Frame4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- 9 -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br/>
        <w:t>such law, government regulation, stock exchange listing requirement or Company policy. Such cooperation and assistance shall include, but is not limited to, executing, completing and submitting any documentation necessary to recover or recoup any Awards or amounts paid under the Plan to a Participant, or pending or future compensation or Awards.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5915"/>
                <wp:effectExtent l="0" t="0" r="0" b="0"/>
                <wp:wrapNone/>
                <wp:docPr id="41" name="Frame4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- 10 -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HAEMONETICS CORPORATION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2019 LONG-TERM INCENTIVE COMPENSATION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RESTRICTED STOCK UNIT AWARD AGREEMENT (the “</w:t>
      </w:r>
      <w:r>
        <w:rPr>
          <w:rFonts w:ascii="Times New Roman;sans-serif" w:hAnsi="Times New Roman;sans-serif"/>
          <w:b w:val="false"/>
          <w:color w:val="000000"/>
          <w:sz w:val="24"/>
          <w:u w:val="single"/>
        </w:rPr>
        <w:t>Award Agreement</w:t>
      </w:r>
      <w:r>
        <w:rPr>
          <w:color w:val="000000"/>
        </w:rPr>
        <w:t>”</w:t>
      </w:r>
      <w:r>
        <w:rPr>
          <w:rFonts w:ascii="Times New Roman;sans-serif" w:hAnsi="Times New Roman;sans-serif"/>
          <w:b w:val="false"/>
          <w:color w:val="000000"/>
          <w:sz w:val="24"/>
        </w:rPr>
        <w:t>), dated as of [●]</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Date of Grant</w:t>
      </w:r>
      <w:r>
        <w:rPr>
          <w:color w:val="000000"/>
        </w:rPr>
        <w:t>”</w:t>
      </w:r>
      <w:r>
        <w:rPr>
          <w:rFonts w:ascii="Times New Roman;sans-serif" w:hAnsi="Times New Roman;sans-serif"/>
          <w:b w:val="false"/>
          <w:color w:val="000000"/>
          <w:sz w:val="24"/>
        </w:rPr>
        <w:t>), is delivered by Haemonetics Corporation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to [●]</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Haemonetics Corporation 2019 Long-Term Incentive Compensation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provides for the grant of restricted stock units in accordance with the terms and conditions of the Plan. The Committee has decided to make this Award of restricted stock units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 </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Restricted Stock Units</w:t>
      </w:r>
      <w:r>
        <w:rPr>
          <w:rFonts w:ascii="Times New Roman;sans-serif" w:hAnsi="Times New Roman;sans-serif"/>
          <w:b w:val="false"/>
          <w:color w:val="000000"/>
          <w:sz w:val="24"/>
        </w:rPr>
        <w:t>. Subject to the terms and conditions set forth in this Award Agreement and in the Plan, the Company hereby grants the Participant [●] restricted stock units, subject to the restrictions set forth below and in the Plan (the “</w:t>
      </w:r>
      <w:r>
        <w:rPr>
          <w:rFonts w:ascii="Times New Roman;sans-serif" w:hAnsi="Times New Roman;sans-serif"/>
          <w:b w:val="false"/>
          <w:color w:val="000000"/>
          <w:sz w:val="24"/>
          <w:u w:val="single"/>
        </w:rPr>
        <w:t>Restricted Stock Units</w:t>
      </w:r>
      <w:r>
        <w:rPr>
          <w:color w:val="000000"/>
        </w:rPr>
        <w:t>”</w:t>
      </w:r>
      <w:r>
        <w:rPr>
          <w:rFonts w:ascii="Times New Roman;sans-serif" w:hAnsi="Times New Roman;sans-serif"/>
          <w:b w:val="false"/>
          <w:color w:val="000000"/>
          <w:sz w:val="24"/>
        </w:rPr>
        <w:t>). Each Restricted Stock Unit represents the right of the Participant to receive a share of common stock of the Company (“</w:t>
      </w:r>
      <w:r>
        <w:rPr>
          <w:rFonts w:ascii="Times New Roman;sans-serif" w:hAnsi="Times New Roman;sans-serif"/>
          <w:b w:val="false"/>
          <w:color w:val="000000"/>
          <w:sz w:val="24"/>
          <w:u w:val="single"/>
        </w:rPr>
        <w:t>Company Stock</w:t>
      </w:r>
      <w:r>
        <w:rPr>
          <w:color w:val="000000"/>
        </w:rPr>
        <w:t>”</w:t>
      </w:r>
      <w:r>
        <w:rPr>
          <w:rFonts w:ascii="Times New Roman;sans-serif" w:hAnsi="Times New Roman;sans-serif"/>
          <w:b w:val="false"/>
          <w:color w:val="000000"/>
          <w:sz w:val="24"/>
        </w:rPr>
        <w:t xml:space="preserve">), if and when the specified conditions are met in Section 3 below, and on the applicable payment date set forth in Section 5 below. </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Restricted Stock Units are Hypothetical Shares</w:t>
      </w:r>
      <w:r>
        <w:rPr>
          <w:rFonts w:ascii="Times New Roman;sans-serif" w:hAnsi="Times New Roman;sans-serif"/>
          <w:b w:val="false"/>
          <w:color w:val="000000"/>
          <w:sz w:val="24"/>
        </w:rPr>
        <w:t xml:space="preserve">. Restricted Stock Units represent hypothetical shares of Company Stock and not actual shares of stock. No shares of Company Stock shall be issued to the Participant at the time the Award is made, and the Participant shall not be, and shall not have any of the rights or privileges of, a stockholder of the Company with respect to any Restricted Stock Units. The Participant shall not have any interest in any fund or specific assets of the Company by reason of this Award. </w:t>
      </w:r>
    </w:p>
    <w:p>
      <w:pPr>
        <w:pStyle w:val="TextBody"/>
        <w:bidi w:val="0"/>
        <w:spacing w:lineRule="auto" w:line="240" w:before="0" w:after="2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of this Section 3, the Restricted Stock Units shall become vested pro rata on each of the first [●] anniversaries of the Date of Grant (each of the first [●] anniversaries of the Date of Grant,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provided that the Participant continues to be employed by the Employer from the Date of Grant until the applicable Vesting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(i)For purposes of this Award Agreement, the terms “</w:t>
      </w:r>
      <w:r>
        <w:rPr>
          <w:rFonts w:ascii="Times New Roman;sans-serif" w:hAnsi="Times New Roman;sans-serif"/>
          <w:b w:val="false"/>
          <w:color w:val="000000"/>
          <w:sz w:val="24"/>
          <w:u w:val="single"/>
        </w:rPr>
        <w:t>employed by the Employer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employment with the Employer</w:t>
      </w:r>
      <w:r>
        <w:rPr>
          <w:color w:val="000000"/>
        </w:rPr>
        <w:t xml:space="preserve">” </w:t>
      </w:r>
      <w:r>
        <w:rPr>
          <w:rFonts w:ascii="Times New Roman;sans-serif" w:hAnsi="Times New Roman;sans-serif"/>
          <w:b w:val="false"/>
          <w:color w:val="000000"/>
          <w:sz w:val="24"/>
        </w:rPr>
        <w:t>shall mean employment with the Company, or employment with any corporation, partnership, joint venture or other entity in which the Company, directly or indirectly, has a majority voting interest.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vesting of the Restricted Stock Units shall be cumulative, but shall not exceed 100% of the Restricted Stock Units. If the vesting schedule in Section 3(a) would produce fractional Restricted Stock Units, the number of Restricted Stock Units that vest shall be rounded down to the nearest whole Restricted Stock Unit and the fractional Restricted Stock Units will be accumulated with any fractional Restricted Stock Units produced on a future Vesting Date, and paid once such fractional Restricted Stock Units from prior Vesting Dates equal a whole Restricted Stock Unit.</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Except as otherwise provided in a written employment agreement or severance agreement entered into by and between the Participant and the Employer, in the event of a Change of Control before all of the Restricted Stock Units vest in accordance with Section 3(a) above, the provisions of the Plan applicable to a Change of Control shall apply to the Restricted Stock Units, and, in the event of a Change of Control, the Committee may take such actions as it is permitted to under the terms of the Plan with respect to the vesting of the Restricted Stock Units.</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Termination of Restricted Stock Units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Except as set forth in this Award Agreement, if the Participant ceases to be employed by the Employer for any reason before all of the Restricted Stock Units vest, any unvested Restricted Stock Units shall automatically terminate and shall be forfeited as of the date of the Participant’s termination of employment. In such event, vesting shall not be pro-rated between Vesting Dates and, except as set forth below, the vested amount of Restricted Stock Units shall be determined as of the most recent Vesting Date. No payment shall be made with respect to any unvested Restricted Stock Units that terminate.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the Participant ceases to be employed by the Employer as a result of the Participant’s Disability or the Participant becoming Disabled, the Restricted Stock Units shall continue to vest pursuant to Section 3(a) of this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Participant ceases to be employed by the Employer as a result of Participant’s death, any unvested Restricted Stock Units shall become fully vested.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the foregoing or anything contained in this Award Agreement to the contrary, if the Participant has not executed a restrictive covenant agreement in the form provided by the Company and delivered such agreement to the Company by [●], the Restricted Stock Units shall automatically terminate and shall be forfeited (unless such requirement has been waived by the Committee). No payment shall be made with respect to any such Restricted Stock Unit that terminate pursuant to this Section 4(d). </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Payment of Restricted Stock Units and Tax Withholding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and when the Restricted Stock Units vest, the Company shall issue to, or on behalf of, the Participant a certificate (which may be in electronic form) representing one share of Company Stock for each vested Restricted Stock Unit, subject to applicable tax withholding obligations. Subject to Sections 5(b) and 19 below, the issuance of shares of Company Stock pursuant to the preceding sentence of this Section 5(a) shall be made as soon as administratively practicable (but no later than thirty (30) days) following the applicable Vesting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obligations of the Company under this Award Agreement shall be subject to the rights of the Employer as set forth in the Plan to withhold amounts required to be withheld for any taxes, if applicable. The Participant agrees that the Company shall automatically and mandatorily withhold a number of shares of Company Stock having a value (as measured on the date the Restricted Stock Units are subject to tax) equal to the Participant’s FICA, federal income, state, local and other tax liabilities required by law to be withheld with respect to the payment of the Restricted Stock Units. To the extent Participant’s tax liabilities are not satisfied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Restricted Stock Units.</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Award Agreement is subject to any applicable taxes and other laws or regulations of the United States or of any state, municipality or other country having jurisdiction thereof.</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 Stockholder Rights</w:t>
      </w:r>
      <w:r>
        <w:rPr>
          <w:rFonts w:ascii="Times New Roman;sans-serif" w:hAnsi="Times New Roman;sans-serif"/>
          <w:b w:val="false"/>
          <w:color w:val="000000"/>
          <w:sz w:val="24"/>
        </w:rPr>
        <w:t>. Neither the Participant, nor any person entitled to receive payment in the event of the Participant’s death, shall have any of the rights and privileges of a stockholder with respect to shares of Company Stock, including voting or dividend rights (including Dividend Equivalents), until certificates for shares have been issued upon payment of Restricted Stock Units. The Participant acknowledges that no election under Section 83(b) of the Code is available with respect to Restricted Stock Units.</w:t>
      </w:r>
      <w:r>
        <w:rPr>
          <w:color w:val="000000"/>
        </w:rPr>
        <w:t xml:space="preserve"> </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Award Subject to Plan Provisions</w:t>
      </w:r>
      <w:r>
        <w:rPr>
          <w:rFonts w:ascii="Times New Roman;sans-serif" w:hAnsi="Times New Roman;sans-serif"/>
          <w:b w:val="false"/>
          <w:color w:val="000000"/>
          <w:sz w:val="24"/>
        </w:rPr>
        <w:t>. This Award is made pursuant to the Plan, the terms of which are incorporated herein by reference, and in all respects shall be interpreted in accordance with the Plan. The grant and payment of the Restricted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Restricted Stock Units pursuant to the terms of the Plan, and its decisions shall be conclusive as to any questions arising hereunder.</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 Employment or Other Rights</w:t>
      </w:r>
      <w:r>
        <w:rPr>
          <w:rFonts w:ascii="Times New Roman;sans-serif" w:hAnsi="Times New Roman;sans-serif"/>
          <w:b w:val="false"/>
          <w:color w:val="000000"/>
          <w:sz w:val="24"/>
        </w:rPr>
        <w:t xml:space="preserve">. The Award of the Restricted Stock Units shall not confer upon the Participant any right to be retained by or in the employ of any Employer and shall not interfere in any way with the right of any Employer to terminate the Participant’s employment at any time. The right of any Employer to terminate at will the Participant’s employment at any time for any reason is specifically reserved. The obligations of the Company hereunder will be that of an unfunded and unsecured promise of the Company to deliver, for each vested Restricted Stock Unit, one share of Company Stock, and the rights of the Participant will be no greater than that of an unsecured general creditor. No assets of the Company will be held or set aside as security for the obligations of the Company hereunder. </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Assignment and Transfers</w:t>
      </w:r>
      <w:r>
        <w:rPr>
          <w:rFonts w:ascii="Times New Roman;sans-serif" w:hAnsi="Times New Roman;sans-serif"/>
          <w:b w:val="false"/>
          <w:color w:val="000000"/>
          <w:sz w:val="24"/>
        </w:rPr>
        <w:t>.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Restricted Stock Units or any right hereunder, except as provided for in this Award Agreement, or in the event of the levy or any attachment, execution or similar process upon the rights or interests hereby conferred, the Company may terminate the Restricted Stock Units by notice to the Participant, and the Restricted Stock Units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Applicable Law; Jurisdiction</w:t>
      </w:r>
      <w:r>
        <w:rPr>
          <w:rFonts w:ascii="Times New Roman;sans-serif" w:hAnsi="Times New Roman;sans-serif"/>
          <w:b w:val="false"/>
          <w:color w:val="000000"/>
          <w:sz w:val="24"/>
        </w:rPr>
        <w:t xml:space="preserve">. The validity, construction, interpretation and effect of this Award Agreement shall be governed by and construed in accordance with the laws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r>
        <w:rPr>
          <w:color w:val="000000"/>
        </w:rPr>
        <w:t xml:space="preserve"> </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xml:space="preserve">. Subject to Section 13 of this Award Agreement,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 </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Recoupment Policy</w:t>
      </w:r>
      <w:r>
        <w:rPr>
          <w:rFonts w:ascii="Times New Roman;sans-serif" w:hAnsi="Times New Roman;sans-serif"/>
          <w:b w:val="false"/>
          <w:color w:val="000000"/>
          <w:sz w:val="24"/>
        </w:rPr>
        <w:t>. The Participant agrees that, subject to the requirements of applicable law, the Restricted Stock Units, and the right to receive and retain any Company Stock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 including, but not limited to, the Company’s Clawback Policy as set forth in the Principles of Corporate Governance, or other policy in effect from time to time, and any successor policy, whether approved before or after the Date of Grant. By accepting the Restricted Stock Units, the Participant agrees and acknowledges that the Participant is obligated to cooperate with, and provide any and all assistance necessary to, the Company to recover or recoup any such Restricted Stock Units or shares or amounts paid under the Restricted Stock Units subject to clawback or recoupment pursuant to such policy, listing standard or law. Such cooperation and assistance shall include, but is not limited to, executing, completing and submitting any documentation necessary to recover or recoup any such Restricted Stock Units or shares or amount paid from the Participant’s accounts, or pending or future compensation or Awards under the Plan.</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Electronic Delivery</w:t>
      </w:r>
      <w:r>
        <w:rPr>
          <w:rFonts w:ascii="Times New Roman;sans-serif" w:hAnsi="Times New Roman;sans-serif"/>
          <w:b w:val="false"/>
          <w:color w:val="000000"/>
          <w:sz w:val="24"/>
        </w:rPr>
        <w:t>. The Company may, in its sole discretion, deliver any documents relating to the Participant’s Restricted Stock Units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pStyle w:val="TextBody"/>
        <w:bidi w:val="0"/>
        <w:spacing w:lineRule="auto" w:line="240" w:before="0" w:after="2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pStyle w:val="TextBody"/>
        <w:bidi w:val="0"/>
        <w:spacing w:lineRule="auto" w:line="240" w:before="0" w:after="2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the Company with respect to the Participant’s (or any other participant’s) compliance of any provision of this Award Agreement shall not operate or be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construed as a waiver of any other provision of this Award Agreement, or of any subsequent breach by such party of a provision of this Award Agreement.</w:t>
      </w:r>
    </w:p>
    <w:p>
      <w:pPr>
        <w:pStyle w:val="TextBody"/>
        <w:bidi w:val="0"/>
        <w:spacing w:lineRule="auto" w:line="240" w:before="0" w:after="2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Except as permitted by the Plan, this Award Agreement may not be amended, modified, terminated or otherwise altered except by the written consent of the Company and the Participant. </w:t>
      </w:r>
    </w:p>
    <w:p>
      <w:pPr>
        <w:pStyle w:val="TextBody"/>
        <w:bidi w:val="0"/>
        <w:spacing w:lineRule="auto" w:line="240" w:before="0" w:after="2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Award Agreement may be executed in one or more counterparts, each of which will be deemed to be an original but all of which together will constitute one and the same instrument.</w:t>
      </w:r>
    </w:p>
    <w:p>
      <w:pPr>
        <w:pStyle w:val="TextBody"/>
        <w:bidi w:val="0"/>
        <w:spacing w:lineRule="auto" w:line="240" w:before="0" w:after="2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Binding Effect; No Third Party Beneficiaries</w:t>
      </w:r>
      <w:r>
        <w:rPr>
          <w:rFonts w:ascii="Times New Roman;sans-serif" w:hAnsi="Times New Roman;sans-serif"/>
          <w:b w:val="false"/>
          <w:color w:val="000000"/>
          <w:sz w:val="24"/>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pStyle w:val="TextBody"/>
        <w:bidi w:val="0"/>
        <w:spacing w:lineRule="auto" w:line="240" w:before="0" w:after="2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Application of Section 409A of the Code</w:t>
      </w:r>
      <w:r>
        <w:rPr>
          <w:rFonts w:ascii="Times New Roman;sans-serif" w:hAnsi="Times New Roman;sans-serif"/>
          <w:b w:val="false"/>
          <w:color w:val="000000"/>
          <w:sz w:val="24"/>
        </w:rPr>
        <w:t>. The Award covered by this Award Agreement is intended to be exempt from or otherwise comply with the provisions of Section 409A of the Code, as amended, and the regulations and other guidance promulgated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Notwithstanding the foregoing, if the Restricted Stock Units constitute “deferred compensation” under Section 409A and the Restricted Stock Units become vested and settled upon the Participant’s termination of employment, payment with respect to the Restricted Stock Units shall be delayed for a period of six months after the Participant’s termination of employment if the Participant is a “specified employee” as defined under Section 409A and if required pursuant to Section 409A. If payment is delayed, the Restricted Stock Units shall be settled and paid within thirty (30) days after the date that is six (6) months following the Participant’s termination of employment. Payments with respect to the Restricted Stock Units may only be paid in a manner and upon an event permitted by Section 409A, and each payment under the Restricted Stock Units shall be treated as a separate payment, and the right to a series of installment payments under the Restricted Stock Units shall be treated as a right to a series of separate payments. In no event shall the Participant, directly or indirectly, designate the calendar year of payment. The Company may change or modify the terms of this Award Agreement without the Participant’s consent or signature if the Company determines, in its sole discretion, that such change or modification is necessary for purposes of compliance with or exemption from the requirements of Section 409A or any regulations or other guidance issued thereunder. Notwithstanding the foregoing, the Company makes no representations and/or warranties with respect to compliance with Section 409A, and the Participant recognizes and acknowledges that Section 409A could potentially impose upon the Participant certain taxes and/or interest charges for which the Participant is and shall remain solely responsible.</w:t>
      </w:r>
    </w:p>
    <w:p>
      <w:pPr>
        <w:pStyle w:val="TextBody"/>
        <w:bidi w:val="0"/>
        <w:spacing w:lineRule="auto" w:line="240" w:before="0" w:after="240"/>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Time for Acceptance</w:t>
      </w:r>
      <w:r>
        <w:rPr>
          <w:rFonts w:ascii="Times New Roman;sans-serif" w:hAnsi="Times New Roman;sans-serif"/>
          <w:b/>
          <w:color w:val="000000"/>
          <w:sz w:val="24"/>
        </w:rPr>
        <w:t>. Unless the Participant shall evidence acceptance of this Restricted Stock Unit Award Agreement by electronic or other means prescribed by the Committee within ninety (90) days after its delivery, the Restricted Stock Units shall be null and void (unless waived by the Committee).</w:t>
      </w:r>
    </w:p>
    <w:p>
      <w:pPr>
        <w:pStyle w:val="TextBody"/>
        <w:bidi w:val="0"/>
        <w:spacing w:lineRule="auto" w:line="240" w:before="0" w:after="240"/>
        <w:jc w:val="center"/>
        <w:rPr>
          <w:rFonts w:ascii="Times New Roman;sans-serif" w:hAnsi="Times New Roman;sans-serif"/>
          <w:b/>
          <w:i/>
          <w:color w:val="000000"/>
          <w:sz w:val="24"/>
        </w:rPr>
      </w:pPr>
      <w:r>
        <w:rPr>
          <w:rFonts w:ascii="Times New Roman;sans-serif" w:hAnsi="Times New Roman;sans-serif"/>
          <w:b/>
          <w:i/>
          <w:color w:val="000000"/>
          <w:sz w:val="24"/>
        </w:rPr>
        <w:t>[Signature Page Follows]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caused its duly authorized officer to execute this Award Agreement, and the Participant has executed this Award Agreement, effective as of the Date of Grant.</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4"/>
        </w:rPr>
        <w:t>HAEMONETICS CORPORATION</w:t>
      </w:r>
    </w:p>
    <w:p>
      <w:pPr>
        <w:pStyle w:val="TextBody"/>
        <w:bidi w:val="0"/>
        <w:spacing w:before="0" w:after="24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___________________________________________</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 xml:space="preserve">Title: </w:t>
      </w:r>
    </w:p>
    <w:p>
      <w:pPr>
        <w:pStyle w:val="TextBody"/>
        <w:bidi w:val="0"/>
        <w:spacing w:before="0" w:after="0"/>
        <w:jc w:val="left"/>
        <w:rPr/>
      </w:pPr>
      <w:r>
        <w:rPr/>
      </w:r>
    </w:p>
    <w:p>
      <w:pPr>
        <w:pStyle w:val="TextBody"/>
        <w:bidi w:val="0"/>
        <w:spacing w:lineRule="auto" w:line="240"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accept the award of Restricted Stock Units described in this Award Agreement, and I agree to be bound by the terms of the Plan and this Award Agreement. I hereby agree that all decisions and determinations of the Committee with respect to the Restricted Stock Units shall be final and binding.</w:t>
      </w:r>
    </w:p>
    <w:p>
      <w:pPr>
        <w:pStyle w:val="TextBody"/>
        <w:bidi w:val="0"/>
        <w:spacing w:lineRule="auto" w:line="240" w:before="0" w:after="0"/>
        <w:jc w:val="left"/>
        <w:rPr>
          <w:color w:val="000000"/>
        </w:rPr>
      </w:pPr>
      <w:r>
        <w:rPr>
          <w:color w:val="000000"/>
        </w:rPr>
        <w:t xml:space="preserv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p>
      <w:pPr>
        <w:pStyle w:val="TextBody"/>
        <w:bidi w:val="0"/>
        <w:spacing w:before="0" w:after="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HAEMONETICS CORPORATION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2019 LONG-TERM INCENTIVE COMPENSATION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NONQUALIFIED STOCK OPTION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NONQUALIFIED STOCK OPTION AWARD AGREEMENT (the “</w:t>
      </w:r>
      <w:r>
        <w:rPr>
          <w:rFonts w:ascii="Times New Roman;sans-serif" w:hAnsi="Times New Roman;sans-serif"/>
          <w:b w:val="false"/>
          <w:color w:val="000000"/>
          <w:sz w:val="24"/>
          <w:u w:val="single"/>
        </w:rPr>
        <w:t>Award Agreement</w:t>
      </w:r>
      <w:r>
        <w:rPr>
          <w:color w:val="000000"/>
        </w:rPr>
        <w:t>”</w:t>
      </w:r>
      <w:r>
        <w:rPr>
          <w:rFonts w:ascii="Times New Roman;sans-serif" w:hAnsi="Times New Roman;sans-serif"/>
          <w:b w:val="false"/>
          <w:color w:val="000000"/>
          <w:sz w:val="24"/>
        </w:rPr>
        <w:t>), dated as of [●] (the “</w:t>
      </w:r>
      <w:r>
        <w:rPr>
          <w:rFonts w:ascii="Times New Roman;sans-serif" w:hAnsi="Times New Roman;sans-serif"/>
          <w:b w:val="false"/>
          <w:color w:val="000000"/>
          <w:sz w:val="24"/>
          <w:u w:val="single"/>
        </w:rPr>
        <w:t>Date of Grant</w:t>
      </w:r>
      <w:r>
        <w:rPr>
          <w:color w:val="000000"/>
        </w:rPr>
        <w:t>”</w:t>
      </w:r>
      <w:r>
        <w:rPr>
          <w:rFonts w:ascii="Times New Roman;sans-serif" w:hAnsi="Times New Roman;sans-serif"/>
          <w:b w:val="false"/>
          <w:color w:val="000000"/>
          <w:sz w:val="24"/>
        </w:rPr>
        <w:t>), is delivered by Haemonetics Corporation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to [●] (the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Haemonetics Corporation 2019 Long-Term Incentive Compensation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provides for the grant of stock options to purchase shares of Company stock (“</w:t>
      </w:r>
      <w:r>
        <w:rPr>
          <w:rFonts w:ascii="Times New Roman;sans-serif" w:hAnsi="Times New Roman;sans-serif"/>
          <w:b w:val="false"/>
          <w:color w:val="000000"/>
          <w:sz w:val="24"/>
          <w:u w:val="single"/>
        </w:rPr>
        <w:t>Company Stock</w:t>
      </w:r>
      <w:r>
        <w:rPr>
          <w:color w:val="000000"/>
        </w:rPr>
        <w:t>”</w:t>
      </w:r>
      <w:r>
        <w:rPr>
          <w:rFonts w:ascii="Times New Roman;sans-serif" w:hAnsi="Times New Roman;sans-serif"/>
          <w:b w:val="false"/>
          <w:color w:val="000000"/>
          <w:sz w:val="24"/>
        </w:rPr>
        <w:t xml:space="preserve">) in accordance with the terms and conditions of the Plan. The Committee has decided to make this nonqualified stock option Award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 </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Option</w:t>
      </w:r>
      <w:r>
        <w:rPr>
          <w:rFonts w:ascii="Times New Roman;sans-serif" w:hAnsi="Times New Roman;sans-serif"/>
          <w:b w:val="false"/>
          <w:color w:val="000000"/>
          <w:sz w:val="24"/>
        </w:rPr>
        <w:t>. Subject to the terms and conditions set forth in this Award Agreement and in the Plan, the Company hereby grants to the Participant a nonqualified stock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 shares of Company Stock (each a “</w:t>
      </w:r>
      <w:r>
        <w:rPr>
          <w:rFonts w:ascii="Times New Roman;sans-serif" w:hAnsi="Times New Roman;sans-serif"/>
          <w:b w:val="false"/>
          <w:color w:val="000000"/>
          <w:sz w:val="24"/>
          <w:u w:val="single"/>
        </w:rPr>
        <w:t>Share</w:t>
      </w:r>
      <w:r>
        <w:rPr>
          <w:color w:val="000000"/>
        </w:rPr>
        <w:t>”</w:t>
      </w:r>
      <w:r>
        <w:rPr>
          <w:rFonts w:ascii="Times New Roman;sans-serif" w:hAnsi="Times New Roman;sans-serif"/>
          <w:b w:val="false"/>
          <w:color w:val="000000"/>
          <w:sz w:val="24"/>
        </w:rPr>
        <w:t>, and together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at an Exercise Price of $[●] per Share. The Option shall become exercisable according to Section 2 below. </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Exercisability of Option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of this Section 2 and Section 3, the Option shall become vested pro rata on each of the first [●] anniversaries of the Date of Grant (each of the first [●] anniversaries of the Date of Grant,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xml:space="preserve">), provided that the Participant continues to be employed by the Employer from the Date of Grant until the applicable Vesting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(i)For purposes of this Award Agreement, the terms “</w:t>
      </w:r>
      <w:r>
        <w:rPr>
          <w:rFonts w:ascii="Times New Roman;sans-serif" w:hAnsi="Times New Roman;sans-serif"/>
          <w:b w:val="false"/>
          <w:color w:val="000000"/>
          <w:sz w:val="24"/>
          <w:u w:val="single"/>
        </w:rPr>
        <w:t>employed by the Employer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employment with the Employer</w:t>
      </w:r>
      <w:r>
        <w:rPr>
          <w:color w:val="000000"/>
        </w:rPr>
        <w:t xml:space="preserve">” </w:t>
      </w:r>
      <w:r>
        <w:rPr>
          <w:rFonts w:ascii="Times New Roman;sans-serif" w:hAnsi="Times New Roman;sans-serif"/>
          <w:b w:val="false"/>
          <w:color w:val="000000"/>
          <w:sz w:val="24"/>
        </w:rPr>
        <w:t>shall mean employment with the Company, or employment with any corporation, partnership, joint venture or other entity in which the Company, directly or indirectly, has a majority voting interest.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vesting and exercisability of the Option is cumulative, but shall not exceed 100% of the Shares subject to the Option. If the terms set forth on in Section 2(a) would produce fractional Shares, the number of Shares for which the Option becomes vested and exercisable shall be rounded down to the nearest whole Share and the fractional Shares will be accumulated with any fractional Shares produced on a future Vesting Date, and become exercisable once such fractional Shares from prior Vesting Dates equal a whole Share.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the foregoing or anything contained in this Award Agreement to the contrary, if the Participant has not executed a restrictive covenant agreement in the form provided by the Company and delivered such agreement to the Company by [●], the Option shall automatically terminate and shall be forfeited (unless such requirement has been waived by the Committee). No payment shall be made with respect to any such Option that terminates pursuant to this Section 2(c).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Except as otherwise provided in a written employment agreement or severance agreement entered into by and between the Participant and the Employer, in the event of a Change of Control before the Option is fully vested and exercisable, the provisions of the Plan applicable to a Change of Control shall apply to the Option, and, in the event of a Change of Control, the Committee may take such actions as it is permitted to under the terms of the Plan with respect to the vesting and exercisability of the Option. </w:t>
      </w:r>
    </w:p>
    <w:p>
      <w:pPr>
        <w:pStyle w:val="TextBody"/>
        <w:bidi w:val="0"/>
        <w:spacing w:lineRule="auto" w:line="240" w:before="0" w:after="2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 of Option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Option shall have a term of seven years from the Date of Grant and shall terminate at the expiration of that period, unless it is terminated at an earlier date pursuant to the provisions of this Award Agreement or the Plan. Notwithstanding the foregoing, in the event that on the last business day of the term of the Option, the Fair Market Value of a share of Company Stock is greater than the Exercise Price, and the Participant remains employed by the Employer, then the Option shall be automatically exercised on such business day without any required action by the Participant, and such automatic exercise shall comply with the terms of this Award Agreement and the Plan.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Option shall automatically terminate upon the happening of the first of the following events: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(i)The expiration of the 90-day period after the Participant ceases to be employed by the Employer, if the termination is for any reason other than Disability, retirement, death or Cause; and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date on which the Participant ceases to be employed by the Employer for Cause. In addition, notwithstanding the prior provisions of this Section 3, if the Participant engages in conduct that constitutes Cause after the Participant’s employment terminates, the Option shall immediately terminate.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Participant ceases to be employed by the Employer because of a Disability or because the Participant has become Disabled, the Option shall continue to vest and shall be exercisable until it expires pursuant to its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If the Participant ceases to be employed by the Employer because the Participant has retired from the Employer in good standing, then such Option shall cease to vest on the last day of Participant’s employment, as applicable, but may be exercised by the Participant (or her/his permitted transferee) at any time on or prior to the earlier of the expiration date of the Option or the expiration of five (5) years from the date of the Participant’s termination of employment due to retirement. For purposes of this Award Agreement, retirement shall mean a termination of employment after reaching age fifty-five (55), and completing at least five (5) years of service with the Employer, provided, however that a Participant’s termination shall in no event be due to retirement if the Participant ceases to be employed by the Employer for Cause.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If the Participant ceases to be employed by the Employer as a result of the Participant’s death, any unvested portion of the Option shall immediately vest and the Option shall be exercisable until expiration by its terms.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in no event may the Option be exercised after the date that is the seventh anniversary of the Date of Grant, or the first business day immediately preceding the seventh anniversary of the Date of Grant if such anniversary falls on a weekend or holiday.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Exercise Procedures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provisions of Sections 2 and 3 above, the Participant may exercise part or all of the exercisable Option by giving the Company, or its delegate, notice of intent to exercise in a form prescribed by the Company. For the avoidance of doubt, only the vested portion of an Option may be exercised.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Participant shall pay the Exercise Price by automatically and mandatorily surrendering shares of Company Stock subject to the exercisable Option, which shares have a Fair Market Value on the date of exercise equal to the aggregate Exercise Price payable for the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obligation of the Company to deliver Shares upon exercise of the Option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All obligations of the Company under this Award Agreement shall be subject to the rights of the Employer as set forth in the Plan to withhold amounts required to be withheld for any taxes, if applicable. The Participant agrees that the Company shall automatically and mandatorily satisfy any tax withholding obligation of the Employer with respect to the Option by having Shares withheld to satisfy the applicable withholding tax rate for FICA, federal, state, local and other tax liabilities.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Upon exercise of the Option (or portion thereof), the Option (or portion thereof) will terminate and cease to be outstanding. </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Restrictions on Exercise</w:t>
      </w:r>
      <w:r>
        <w:rPr>
          <w:rFonts w:ascii="Times New Roman;sans-serif" w:hAnsi="Times New Roman;sans-serif"/>
          <w:b w:val="false"/>
          <w:color w:val="000000"/>
          <w:sz w:val="24"/>
        </w:rPr>
        <w:t>. Except as the Committee may otherwise permit pursuant to the Plan, only the Participant may exercise the Option during the Participant’s lifetime and, after the Participant’s death, the Option shall be exercisable (subject to the limitations specified in the Plan) solely by the legal representatives of the Participant, or by the person who acquires the right to exercise the Option by will or by the laws of descent and distribution, to the extent that the Option is exercisable pursuant to this Award Agreement.</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Award Subject to Plan Provisions</w:t>
      </w:r>
      <w:r>
        <w:rPr>
          <w:rFonts w:ascii="Times New Roman;sans-serif" w:hAnsi="Times New Roman;sans-serif"/>
          <w:b w:val="false"/>
          <w:color w:val="000000"/>
          <w:sz w:val="24"/>
        </w:rPr>
        <w:t>. This Award is made pursuant to the Plan, the terms of which are incorporated herein by reference, and in all respects shall be interpreted in accordance with the Plan. The Award and exercise of the Option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(c) changes in capitalization of the Company and (d) other requirements of applicable law. The Committee shall have the authority to interpret and construe the Option pursuant to the terms of the Plan, and its decisions shall be conclusive as to any questions arising hereunder.</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Employment or Other Rights</w:t>
      </w:r>
      <w:r>
        <w:rPr>
          <w:rFonts w:ascii="Times New Roman;sans-serif" w:hAnsi="Times New Roman;sans-serif"/>
          <w:b w:val="false"/>
          <w:color w:val="000000"/>
          <w:sz w:val="24"/>
        </w:rPr>
        <w:t>. The Option Award shall not confer upon the Participant any right to be retained by or in the employ of any Employer and shall not interfere in any way with the right of any Employer to terminate the Participant’s employment at any time. The right of any Employer to terminate at will the Participant’s employment at any time for any reason is specifically reserved.</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 Stockholder Rights</w:t>
      </w:r>
      <w:r>
        <w:rPr>
          <w:rFonts w:ascii="Times New Roman;sans-serif" w:hAnsi="Times New Roman;sans-serif"/>
          <w:b w:val="false"/>
          <w:color w:val="000000"/>
          <w:sz w:val="24"/>
        </w:rPr>
        <w:t xml:space="preserve">. Neither the Participant, nor any person entitled to exercise the Participant’s rights in the event of the Participant’s death, shall have any of the rights and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50" name="Frame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privileges of a stockholder with respect to the Shares subject to the Option, until certificates for Shares have been issued upon the exercise of the Option.</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Assignment and Transfers</w:t>
      </w:r>
      <w:r>
        <w:rPr>
          <w:rFonts w:ascii="Times New Roman;sans-serif" w:hAnsi="Times New Roman;sans-serif"/>
          <w:b w:val="false"/>
          <w:color w:val="000000"/>
          <w:sz w:val="24"/>
        </w:rPr>
        <w:t>.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Option or any right hereunder, except as provided for in this Award Agreement, or in the event of the levy or any attachment, execution or similar process upon the rights or interests hereby conferred, the Company may terminate the Option by notice to the Participant, and the Option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Applicable Law; Jurisdiction</w:t>
      </w:r>
      <w:r>
        <w:rPr>
          <w:rFonts w:ascii="Times New Roman;sans-serif" w:hAnsi="Times New Roman;sans-serif"/>
          <w:b w:val="false"/>
          <w:color w:val="000000"/>
          <w:sz w:val="24"/>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r>
        <w:rPr>
          <w:color w:val="000000"/>
        </w:rPr>
        <w:t xml:space="preserve"> </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xml:space="preserve">. Subject to Section 13 of this Award Agreement, any notice to the Company provided for in this instrument shall be addressed to the Company in care of the General Counsel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 </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Recoupment Policy</w:t>
      </w:r>
      <w:r>
        <w:rPr>
          <w:rFonts w:ascii="Times New Roman;sans-serif" w:hAnsi="Times New Roman;sans-serif"/>
          <w:b w:val="false"/>
          <w:color w:val="000000"/>
          <w:sz w:val="24"/>
        </w:rPr>
        <w:t>. The Participant agrees that, subject to the requirements of applicable law, the Option, and the right to receive and retain any Shares, or the amount of any gain realized or payment received as a result of any sale or other disposition of the Shares,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w:t>
      </w:r>
      <w:r>
        <w:rPr>
          <w:color w:val="000000"/>
        </w:rPr>
        <w:t xml:space="preserve"> </w:t>
      </w:r>
      <w:r>
        <w:rPr>
          <w:rFonts w:ascii="Times New Roman;sans-serif" w:hAnsi="Times New Roman;sans-serif"/>
          <w:b w:val="false"/>
          <w:color w:val="000000"/>
          <w:sz w:val="24"/>
        </w:rPr>
        <w:t>including, but not limited to, the Company’s Clawback Policy as set forth in the Principles of Corporate Governance, or other policy in effect from time to time, and any successor policy, whether approved before or after the Date of Grant. By accepting the Option, the Participant agrees and acknowledges that the Participant is obligated to cooperate with, and provide any and all assistance necessary to, the Company to recover or recoup any such Option or Shares or amounts paid under the Option subject to clawback or recoupment pursuant to such policy, listing standard or law. Such cooperation and assistance shall include, but is not limited to, executing, completing and submitting any documentation necessary to recover or recoup any such Option or Shares or amount paid from the Participant’s accounts, or pending or future compensation or Awards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Electronic Delivery</w:t>
      </w:r>
      <w:r>
        <w:rPr>
          <w:rFonts w:ascii="Times New Roman;sans-serif" w:hAnsi="Times New Roman;sans-serif"/>
          <w:b w:val="false"/>
          <w:color w:val="000000"/>
          <w:sz w:val="24"/>
        </w:rPr>
        <w:t>. The Company may, in its sole discretion, deliver any documents relating to the Participant’s Option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pStyle w:val="TextBody"/>
        <w:bidi w:val="0"/>
        <w:spacing w:lineRule="auto" w:line="240" w:before="0" w:after="2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pStyle w:val="TextBody"/>
        <w:bidi w:val="0"/>
        <w:spacing w:lineRule="auto" w:line="240" w:before="0" w:after="2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waiver by the Company with respect to the Participant’s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Except as permitted by the Plan, this Award Agreement may not be amended, modified, terminated or otherwise altered except by the written consent of the Company and the Participant. </w:t>
      </w:r>
    </w:p>
    <w:p>
      <w:pPr>
        <w:pStyle w:val="TextBody"/>
        <w:bidi w:val="0"/>
        <w:spacing w:lineRule="auto" w:line="240" w:before="0" w:after="2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Award Agreement may be executed in one or more counterparts, each of which will be deemed to be an original but all of which together will constitute one and the same instrument.</w:t>
      </w:r>
    </w:p>
    <w:p>
      <w:pPr>
        <w:pStyle w:val="TextBody"/>
        <w:bidi w:val="0"/>
        <w:spacing w:lineRule="auto" w:line="240" w:before="0" w:after="2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Binding Effect; No Third Party Beneficiaries</w:t>
      </w:r>
      <w:r>
        <w:rPr>
          <w:rFonts w:ascii="Times New Roman;sans-serif" w:hAnsi="Times New Roman;sans-serif"/>
          <w:b w:val="false"/>
          <w:color w:val="000000"/>
          <w:sz w:val="24"/>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pStyle w:val="TextBody"/>
        <w:bidi w:val="0"/>
        <w:spacing w:lineRule="auto" w:line="240" w:before="0" w:after="2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Application of Section 409A of the Code</w:t>
      </w:r>
      <w:r>
        <w:rPr>
          <w:rFonts w:ascii="Times New Roman;sans-serif" w:hAnsi="Times New Roman;sans-serif"/>
          <w:b w:val="false"/>
          <w:color w:val="000000"/>
          <w:sz w:val="24"/>
        </w:rPr>
        <w:t xml:space="preserve">. This Award Agreement is intended to be exempt from section 409A of the Code and to the extent this Award Agreement is subject to section 409A of the Code, it will in all respects be administered in accordance with section 409A of the Code. </w:t>
      </w:r>
    </w:p>
    <w:p>
      <w:pPr>
        <w:pStyle w:val="TextBody"/>
        <w:bidi w:val="0"/>
        <w:spacing w:lineRule="auto" w:line="240" w:before="0" w:after="240"/>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Time for Acceptance</w:t>
      </w:r>
      <w:r>
        <w:rPr>
          <w:rFonts w:ascii="Times New Roman;sans-serif" w:hAnsi="Times New Roman;sans-serif"/>
          <w:b/>
          <w:color w:val="000000"/>
          <w:sz w:val="24"/>
        </w:rPr>
        <w:t>. Unless the Participant shall evidence acceptance of this Option Award Agreement by electronic or other means prescribed by the Committee within ninety (90) days after its delivery, the Option shall be null and void (unless waived by the Committee).</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Signature Page Follows</w:t>
      </w:r>
      <w:r>
        <w:rPr>
          <w:rFonts w:ascii="Times New Roman;sans-serif" w:hAnsi="Times New Roman;sans-serif"/>
          <w:b w:val="false"/>
          <w:color w:val="000000"/>
          <w:sz w:val="24"/>
        </w:rPr>
        <w:t>]</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52"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IN WITNESS WHEREOF, the Company has caused an officer to execute this Award Agreement, and the Participant has executed this Award Agreement, effective as of the Date of Grant.</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4"/>
        </w:rPr>
        <w:t>HAEMONETICS CORPORATION</w:t>
      </w:r>
    </w:p>
    <w:p>
      <w:pPr>
        <w:pStyle w:val="TextBody"/>
        <w:bidi w:val="0"/>
        <w:spacing w:before="0" w:after="24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_______________________________</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 xml:space="preserve">Title: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accept the Option described in this Award Agreement, and I agree to be bound by the terms of the Plan and this Award Agreement. I hereby agree that all decisions and determinations of the Committee with respect to the Option shall be final and binding.</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_________________________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p>
      <w:pPr>
        <w:pStyle w:val="TextBody"/>
        <w:bidi w:val="0"/>
        <w:spacing w:before="0" w:after="720"/>
        <w:jc w:val="both"/>
        <w:rPr/>
      </w:pPr>
      <w:r>
        <w:rPr/>
      </w:r>
    </w:p>
    <w:p>
      <w:pPr>
        <w:pStyle w:val="TextBody"/>
        <w:bidi w:val="0"/>
        <w:spacing w:before="0" w:after="0"/>
        <w:jc w:val="left"/>
        <w:rPr/>
      </w:pPr>
      <w:r>
        <w:rPr/>
      </w:r>
    </w:p>
    <w:p>
      <w:pPr>
        <w:pStyle w:val="TextBody"/>
        <w:bidi w:val="0"/>
        <w:spacing w:before="0" w:after="7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HAEMONETICS CORPORATION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2019 LONG-TERM INCENTIVE COMPENSATION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PERFORMANCE SHARE UNIT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PERFORMANCE SHARE UNIT AWARD AGREEMENT (the “</w:t>
      </w:r>
      <w:r>
        <w:rPr>
          <w:rFonts w:ascii="Times New Roman;sans-serif" w:hAnsi="Times New Roman;sans-serif"/>
          <w:b w:val="false"/>
          <w:color w:val="000000"/>
          <w:sz w:val="24"/>
          <w:u w:val="single"/>
        </w:rPr>
        <w:t>Award Agreement</w:t>
      </w:r>
      <w:r>
        <w:rPr>
          <w:color w:val="000000"/>
        </w:rPr>
        <w:t>”</w:t>
      </w:r>
      <w:r>
        <w:rPr>
          <w:rFonts w:ascii="Times New Roman;sans-serif" w:hAnsi="Times New Roman;sans-serif"/>
          <w:b w:val="false"/>
          <w:color w:val="000000"/>
          <w:sz w:val="24"/>
        </w:rPr>
        <w:t>), dated as of [●] (the “</w:t>
      </w:r>
      <w:r>
        <w:rPr>
          <w:rFonts w:ascii="Times New Roman;sans-serif" w:hAnsi="Times New Roman;sans-serif"/>
          <w:b w:val="false"/>
          <w:color w:val="000000"/>
          <w:sz w:val="24"/>
          <w:u w:val="single"/>
        </w:rPr>
        <w:t>Date of Grant</w:t>
      </w:r>
      <w:r>
        <w:rPr>
          <w:color w:val="000000"/>
        </w:rPr>
        <w:t>”</w:t>
      </w:r>
      <w:r>
        <w:rPr>
          <w:rFonts w:ascii="Times New Roman;sans-serif" w:hAnsi="Times New Roman;sans-serif"/>
          <w:b w:val="false"/>
          <w:color w:val="000000"/>
          <w:sz w:val="24"/>
        </w:rPr>
        <w:t>), is delivered by Haemonetics Corporation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to [●]</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Haemonetics Corporation 2019 Long-Term Incentive Compensation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provides for the grant of performance-based restricted share units in accordance with the terms and conditions of the Plan. The Committee has decided to make this grant of performance-based restricted share units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 </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Performance Share Units</w:t>
      </w:r>
      <w:r>
        <w:rPr>
          <w:rFonts w:ascii="Times New Roman;sans-serif" w:hAnsi="Times New Roman;sans-serif"/>
          <w:b w:val="false"/>
          <w:color w:val="000000"/>
          <w:sz w:val="24"/>
        </w:rPr>
        <w:t xml:space="preserve">. Subject to the terms and conditions set forth in this Award Agreement and in the Plan, the Company hereby grants the Participant a target award of </w:t>
        <w:br/>
        <w:t>[●] performance-based restricted share units (the “</w:t>
      </w:r>
      <w:r>
        <w:rPr>
          <w:rFonts w:ascii="Times New Roman;sans-serif" w:hAnsi="Times New Roman;sans-serif"/>
          <w:b w:val="false"/>
          <w:color w:val="000000"/>
          <w:sz w:val="24"/>
          <w:u w:val="single"/>
        </w:rPr>
        <w:t>Performance Share Units</w:t>
      </w:r>
      <w:r>
        <w:rPr>
          <w:color w:val="000000"/>
        </w:rPr>
        <w:t>”</w:t>
      </w:r>
      <w:r>
        <w:rPr>
          <w:rFonts w:ascii="Times New Roman;sans-serif" w:hAnsi="Times New Roman;sans-serif"/>
          <w:b w:val="false"/>
          <w:color w:val="000000"/>
          <w:sz w:val="24"/>
        </w:rPr>
        <w:t>), subject to the terms and restrictions set forth below and in the Plan (such amount of Performance Share Units, the “</w:t>
      </w:r>
      <w:r>
        <w:rPr>
          <w:rFonts w:ascii="Times New Roman;sans-serif" w:hAnsi="Times New Roman;sans-serif"/>
          <w:b w:val="false"/>
          <w:color w:val="000000"/>
          <w:sz w:val="24"/>
          <w:u w:val="single"/>
        </w:rPr>
        <w:t>Target Award</w:t>
      </w:r>
      <w:r>
        <w:rPr>
          <w:color w:val="000000"/>
        </w:rPr>
        <w:t>”</w:t>
      </w:r>
      <w:r>
        <w:rPr>
          <w:rFonts w:ascii="Times New Roman;sans-serif" w:hAnsi="Times New Roman;sans-serif"/>
          <w:b w:val="false"/>
          <w:color w:val="000000"/>
          <w:sz w:val="24"/>
        </w:rPr>
        <w:t>). Each Performance Share Unit represents the right of the Participant to receive a share of common stock of the Company (“</w:t>
      </w:r>
      <w:r>
        <w:rPr>
          <w:rFonts w:ascii="Times New Roman;sans-serif" w:hAnsi="Times New Roman;sans-serif"/>
          <w:b w:val="false"/>
          <w:color w:val="000000"/>
          <w:sz w:val="24"/>
          <w:u w:val="single"/>
        </w:rPr>
        <w:t>Company Stock</w:t>
      </w:r>
      <w:r>
        <w:rPr>
          <w:color w:val="000000"/>
        </w:rPr>
        <w:t>”</w:t>
      </w:r>
      <w:r>
        <w:rPr>
          <w:rFonts w:ascii="Times New Roman;sans-serif" w:hAnsi="Times New Roman;sans-serif"/>
          <w:b w:val="false"/>
          <w:color w:val="000000"/>
          <w:sz w:val="24"/>
        </w:rPr>
        <w:t xml:space="preserve">), if and when the specified conditions are met in Section 3 below, and on the applicable payment date set forth in Section 5 below. </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Performance Share Units are Hypothetical Shares</w:t>
      </w:r>
      <w:r>
        <w:rPr>
          <w:rFonts w:ascii="Times New Roman;sans-serif" w:hAnsi="Times New Roman;sans-serif"/>
          <w:b w:val="false"/>
          <w:color w:val="000000"/>
          <w:sz w:val="24"/>
        </w:rPr>
        <w:t>. Performance Share Units represent hypothetical shares of Company Stock, and not actual shares of stock. No shares of Company Stock shall be issued to the Participant at the time the grant is made, and the Participant shall not be, and shall not have any of the rights or privileges of, a stockholder of the Company with respect to any Performance Share Units. The Participant shall not have any interest in any fund or specific assets of the Company by reason of this Award.</w:t>
      </w:r>
    </w:p>
    <w:p>
      <w:pPr>
        <w:pStyle w:val="TextBody"/>
        <w:bidi w:val="0"/>
        <w:spacing w:lineRule="auto" w:line="240" w:before="0" w:after="2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terms of this Section 3 and the terms of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which is incorporated by reference herein, the Performance Share Units shall become vested upon satisfaction of the Performance Goals and terms as set forth in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to this Award Agreement. The Committee shall determine whether such Performance Goals have been satisfied.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 xml:space="preserve">If the vesting terms set forth in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would produce fractional Performance Share Units, the number of Performance Share Units that vest shall be rounded down to the nearest whole Performance Share Unit.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anything to the contrary contained in a written employment agreement, severance agreement, change of control agreement or other agreement entered into by and between the Participant and the Employer, this Section 3(c) shall apply in the event of a Change of Control before the Vesting Date (a “</w:t>
      </w:r>
      <w:r>
        <w:rPr>
          <w:rFonts w:ascii="Times New Roman;sans-serif" w:hAnsi="Times New Roman;sans-serif"/>
          <w:b w:val="false"/>
          <w:color w:val="000000"/>
          <w:sz w:val="24"/>
          <w:u w:val="single"/>
        </w:rPr>
        <w:t>Qualifying Change of Control</w:t>
      </w:r>
      <w:r>
        <w:rPr>
          <w:color w:val="000000"/>
        </w:rPr>
        <w:t>”</w:t>
      </w:r>
      <w:r>
        <w:rPr>
          <w:rFonts w:ascii="Times New Roman;sans-serif" w:hAnsi="Times New Roman;sans-serif"/>
          <w:b w:val="false"/>
          <w:color w:val="000000"/>
          <w:sz w:val="24"/>
        </w:rPr>
        <w:t>) and while the Participant continues to be employed by the Employer.</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Effective as of immediately prior to a Qualifying Change of Control, but subject to the occurrence of such Change of Control, the number of Performance Share Units eligible to be vested shall be equal to the greater of the number of shares of Common Stock under the (i) the Target Award multiplied by a fraction, the numerator of which is the number of days elapsed from the Date of Grant to the date of the Qualifying Change of Control, and the denominator of which is the number of days in the Performance Period, and (ii) the Share Payout as a Percentage of Target Award as determined by the Committee under the terms of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through the latest practicable date prior to such Change of Control. For purposes of this Section 3(c)(i), the Company Relative TSR Percentile Rank shall be determined by reference to the Company’s average relative TSR rank on the twenty (20) consecutive trading days immediately preceding the Qualifying Change of Control. The number of Performance Share Units determined in accordance with this Section 3(c)(i) is referred to as the “</w:t>
      </w:r>
      <w:r>
        <w:rPr>
          <w:rFonts w:ascii="Times New Roman;sans-serif" w:hAnsi="Times New Roman;sans-serif"/>
          <w:b w:val="false"/>
          <w:color w:val="000000"/>
          <w:sz w:val="24"/>
          <w:u w:val="single"/>
        </w:rPr>
        <w:t>Change of Control Adjusted Performance Share Units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The Change of Control Adjusted Performance Share Units shall become vested on a Qualifying Change of Control and paid as soon as administratively practicable (but no later than thirty (30) days) following the occurrence of such Change of Control if a replacement or substitute award meeting the requirements of this Section 3(c)(ii) is not provided to the Participant in respect of such Performance Share Units. An award meeting the requirements of this Section 3(c)(ii) is referred to below as a “</w:t>
      </w:r>
      <w:r>
        <w:rPr>
          <w:rFonts w:ascii="Times New Roman;sans-serif" w:hAnsi="Times New Roman;sans-serif"/>
          <w:b w:val="false"/>
          <w:color w:val="000000"/>
          <w:sz w:val="24"/>
          <w:u w:val="single"/>
        </w:rPr>
        <w:t>Replacement Award</w:t>
      </w:r>
      <w:r>
        <w:rPr>
          <w:color w:val="000000"/>
        </w:rPr>
        <w:t>”</w:t>
      </w:r>
      <w:r>
        <w:rPr>
          <w:rFonts w:ascii="Times New Roman;sans-serif" w:hAnsi="Times New Roman;sans-serif"/>
          <w:b w:val="false"/>
          <w:color w:val="000000"/>
          <w:sz w:val="24"/>
        </w:rPr>
        <w:t xml:space="preserve">. An award shall qualify as a Replacement Award if: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It is comprised of restricted stock units with respect to a publicly traded equity security of the Company or the surviving corporation or the ultimate parent of the applicable entity following a Qualifying Change of Control;</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It has a fair market value at least equal to the fair market value of the Change of Control Adjusted Performance Share Units as of the date of a Qualifying Change of Control;</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It contains terms relating to service-based vesting (including with respect to termination of employment) that are substantially identical to the terms set forth in this Award Agreement and does not contain any terms related to performance-based vesting;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Its other terms and conditions are not less favorable to the Participant than the terms and conditions set forth in this Award Agreement or in the Plan (including provisions that apply in the event of a subsequent change of control) as of the date of a Qualifying Change of Control.</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determination of whether the conditions of this Section 3(c)(ii) are satisfied shall be made by the Committee, as constituted immediately prior to a Qualifying Change of Control, in its sole discretion, prior to such Change of Control. If a Replacement Award is provided, the Change of Control Adjusted Performance Share Units shall not be settled upon a Qualifying Change of Control, but instead as provided under Section 3(c)(iii) below.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If, in connection with a Qualifying Change of Control, the Participant is provided with a Replacement Award, such Replacement Award shall vest on the Vesting Date and be settled at the time as set forth in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subject to the Participant having not incurred a termination of employment with the Employer prior to such Vesting Date; provided that, if, within two years following such Qualifying Change of Control, the Participant incurs a termination of employment due to being a Good Leaver (as defined below), then the Replacement Award shall become fully vested effective as of such termination of employment, and the Company shall issue one share to the Participant for each share under the Replacement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 as soon as reasonably practicable (but not later than 30 days) following such termination of employment.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For purposes of this Award Agreement, the following terms have the meanings set forth below: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w:t>
      </w:r>
      <w:r>
        <w:rPr>
          <w:color w:val="000000"/>
        </w:rPr>
        <w:t>“</w:t>
      </w:r>
      <w:r>
        <w:rPr>
          <w:rFonts w:ascii="Times New Roman;sans-serif" w:hAnsi="Times New Roman;sans-serif"/>
          <w:b w:val="false"/>
          <w:color w:val="000000"/>
          <w:sz w:val="24"/>
          <w:u w:val="single"/>
        </w:rPr>
        <w:t>Good Leaver</w:t>
      </w:r>
      <w:r>
        <w:rPr>
          <w:color w:val="000000"/>
        </w:rPr>
        <w:t xml:space="preserve">” </w:t>
      </w:r>
      <w:r>
        <w:rPr>
          <w:rFonts w:ascii="Times New Roman;sans-serif" w:hAnsi="Times New Roman;sans-serif"/>
          <w:b w:val="false"/>
          <w:color w:val="000000"/>
          <w:sz w:val="24"/>
        </w:rPr>
        <w:t xml:space="preserve">means the involuntary termination of the Participant’s employment by the Employer other than a termination for Cause, the Participant’s resignation for Good Reason, or the Participant’s termination of employment due to death, Disability or a Qualifying Retirement.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have the meaning given to such term in an employment agreement, severance or change in control agreement or, if there is no such agreement or if it does not define Good Reason, then Good Reason shall mean the occurrence of any one of the following in the absence of the Participant’s written consent: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material diminution in the Participant’s annual base salary or target annual incentive compensation from that in effect immediately prior to a Qualifying Change of Control;</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assignment to the Participant of any duties materially inconsistent with the Participant’s positions (including status, offices, titles, and reporting requirements), authority, duties, or responsibilities, or any other action by the Employer that results in a material diminution in such positions, authority, duties, or responsibilities, in each case, from those in effect immediately prior to a Qualifying Change of Control; or</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relocation of the Participant to a work location more than 50 miles from the Participant’s current work location (unless, as a result of such relocation, the Participant’s work location is closer to his or her place of residence);</w:t>
      </w:r>
    </w:p>
    <w:p>
      <w:pPr>
        <w:pStyle w:val="TextBody"/>
        <w:bidi w:val="0"/>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provided that, in each case the Participant provides written notice to the Employer of the existence of one or more of the conditions described in clauses described above within 30 days following the Participant’s knowledge of the initial existence of such condition or conditions, specifying in reasonable detail the conditions constituting Good Reason, (ii) the Employer fails to cure such event or condition within 30 days following the receipt of such notice and (iii) the Participant incurs a termination of employment within 30 days following the expiration of such cure period.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w:t>
      </w:r>
      <w:r>
        <w:rPr>
          <w:color w:val="000000"/>
        </w:rPr>
        <w:t>“</w:t>
      </w:r>
      <w:r>
        <w:rPr>
          <w:rFonts w:ascii="Times New Roman;sans-serif" w:hAnsi="Times New Roman;sans-serif"/>
          <w:b w:val="false"/>
          <w:color w:val="000000"/>
          <w:sz w:val="24"/>
          <w:u w:val="single"/>
        </w:rPr>
        <w:t>employed by the Employer</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employment with the Employer</w:t>
      </w:r>
      <w:r>
        <w:rPr>
          <w:color w:val="000000"/>
        </w:rPr>
        <w:t xml:space="preserve">” </w:t>
      </w:r>
      <w:r>
        <w:rPr>
          <w:rFonts w:ascii="Times New Roman;sans-serif" w:hAnsi="Times New Roman;sans-serif"/>
          <w:b w:val="false"/>
          <w:color w:val="000000"/>
          <w:sz w:val="24"/>
        </w:rPr>
        <w:t xml:space="preserve">shall mean employment with the Company, or employment with any corporation, partnership, joint venture or other entity in which the Company, directly or indirectly, has a majority voting interest. </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Termination of Performance Share Units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Except as set forth in this Award Agreement, if the Participant ceases to be employed by the Employer for any reason before the Vesting Date, the unvested Performance Share Units shall automatically terminate and shall be forfeited as of the date of the Participant’s termination of employment. No payment shall be made with respect to any unvested Performance Share Units that terminate. For the avoidance of doubt, except as provided in Section 3(c) of this Award Agreement, vesting shall not be pro-rated between the Date of Grant and the Vesting Date.</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the Participant ceases to be employed by the Employer as a result of the Participant’s Disability or the Participant becoming Disabled, the Performance Share Units shall continue to vest pursuant to Section 3(a) and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Disability, and the denominator of which is the number of days in the Performance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the Participant ceases to be employed by the Employer as a result of the Participant’s death, the Performance Share Units shall continue to vest pursuant to Section 3(a) and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Participant’s estate or other applicable party shall be multiplied by a fraction, the numerator of which is the number of days elapsed from the Date of Grant to the Participant’s death, and the denominator of which is the number of days in the Performance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the Participant ceases to be employed by the Employer as a result of the Participant’s Qualifying Retirement, the Performance Share Units shall continue to vest pursuant to Section 3(a) and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Qualifying Retirement, and the denominator of which is the number of days in the Performance Period. For purposes of this Award Agreement, a “</w:t>
      </w:r>
      <w:r>
        <w:rPr>
          <w:rFonts w:ascii="Times New Roman;sans-serif" w:hAnsi="Times New Roman;sans-serif"/>
          <w:b w:val="false"/>
          <w:color w:val="000000"/>
          <w:sz w:val="24"/>
          <w:u w:val="single"/>
        </w:rPr>
        <w:t>Qualifying Retirement</w:t>
      </w:r>
      <w:r>
        <w:rPr>
          <w:color w:val="000000"/>
        </w:rPr>
        <w:t xml:space="preserve">” </w:t>
      </w:r>
      <w:r>
        <w:rPr>
          <w:rFonts w:ascii="Times New Roman;sans-serif" w:hAnsi="Times New Roman;sans-serif"/>
          <w:b w:val="false"/>
          <w:color w:val="000000"/>
          <w:sz w:val="24"/>
        </w:rPr>
        <w:t>shall mean that the Participant voluntarily retires from the employ of the Employer at or after both attaining age fifty-five (55) and completing five (5) consecutive years of service. For purposes of this Award Agreement, a “year of service” shall mean a twelve (12) month period of continuous full-time employment with the Employer (determined without regard to any breaks in service due to a paid leave of absence or any unpaid leave of absence authorized in writing by the Employer). For the avoidance of doubt, termination of the Participant’s employment with the Employer, either with or without Cause, shall not be treated as a Qualifying Retirement.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Notwithstanding the foregoing or anything contained in this Award Agreement to the contrary, if the Participant has not executed a restrictive covenant agreement in the form provided by the Company and delivered such agreement to the Company by [●], the Performance Share Units shall automatically terminate and shall be forfeited (unless such requirement has been waived by the Committee). No payment shall be made with respect to any such Performance Share Units that terminate pursuant to this Section 4(e). </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Payment of Performance Share Units and Tax Withholding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and when the Performance Share Units vest, the Company shall issue to the Participant one share of Company Stock for each vested Performance Share Unit, subject to applicable tax withholding obligations. Subject to Sections 5(b) and 19 below, the issuance of shares of Company Stock pursuant to the preceding sentence of this Section 5(a) shall be made as soon as administratively practicable (but no later than thirty (30) days) following the applicable Vesting Date and following the certification by the Committee of the of the Company’s achievement, if any, of the Performance Goals set forth on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obligations of the Company under this Award Agreement shall be subject to the rights of the Employer as set forth in the Plan to withhold amounts required to be withheld for any taxes, if applicable. The Participant agrees that the Company shall automatically and mandatorily withhold a number of shares of Company Stock having a value (as measured on the date the Performance Share Units are subject to tax) equal to the Participant’s FICA, federal income, state, local and other tax liabilities required by law to be withheld with respect to the payment of the Performance Share Units. To the extent Participant’s tax liabilities are not satisfied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Performance Share Units.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Award Agreement is subject to any applicable taxes and other laws or regulations of the United States or of any state, municipality or other country having jurisdiction thereof.</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 Stockholder Rights</w:t>
      </w:r>
      <w:r>
        <w:rPr>
          <w:rFonts w:ascii="Times New Roman;sans-serif" w:hAnsi="Times New Roman;sans-serif"/>
          <w:b w:val="false"/>
          <w:color w:val="000000"/>
          <w:sz w:val="24"/>
        </w:rPr>
        <w:t>. Neither the Participant, nor any person or entity entitled to receive payment in the event of the Participant’s death, shall have any of the rights and privileges of a stockholder with respect to shares of Company Stock, including voting or dividend rights (including Dividend Equivalents), until certificates for shares have been issued upon payment of Performance Share Units. The Participant acknowledges that no election under Section 83(b) of the Code is available with respect to the Performance Share Units.</w:t>
      </w:r>
      <w:r>
        <w:rPr>
          <w:color w:val="000000"/>
        </w:rPr>
        <w:t xml:space="preserve"> </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Grant Subject to Plan Provisions</w:t>
      </w:r>
      <w:r>
        <w:rPr>
          <w:rFonts w:ascii="Times New Roman;sans-serif" w:hAnsi="Times New Roman;sans-serif"/>
          <w:b w:val="false"/>
          <w:color w:val="000000"/>
          <w:sz w:val="24"/>
        </w:rPr>
        <w:t>. This grant is made pursuant to the Plan, the terms of which are incorporated herein by reference, and in all respects shall be interpreted in accordance with the Plan. The grant and payment of the Performance Share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Performance Share Units pursuant to the terms of the Plan, and its decisions shall be conclusive as to any questions arising hereunder.</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 Employment or Other Rights</w:t>
      </w:r>
      <w:r>
        <w:rPr>
          <w:rFonts w:ascii="Times New Roman;sans-serif" w:hAnsi="Times New Roman;sans-serif"/>
          <w:b w:val="false"/>
          <w:color w:val="000000"/>
          <w:sz w:val="24"/>
        </w:rPr>
        <w:t xml:space="preserve">. The grant of the Performance Share Units shall not confer upon the Participant any right to be retained by or in the employ of any Employer and shall not interfere in any way with the right of any Employer to terminate the Participant’s employment at any time. The right of any Employer to terminate at will the Participant’s employment at any time for any reason is specifically reserved. The obligations of the Company hereunder will be that of an unfunded and unsecured promise of the Company to deliver, for each vested Performance Share Unit, one share of Company Stock, and the rights of the Participant will be no greater than that of an unsecured general creditor. No assets of the Company will be held or set aside as security for the obligations of the Company hereunder. </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Assignment and Transfers</w:t>
      </w:r>
      <w:r>
        <w:rPr>
          <w:rFonts w:ascii="Times New Roman;sans-serif" w:hAnsi="Times New Roman;sans-serif"/>
          <w:b w:val="false"/>
          <w:color w:val="000000"/>
          <w:sz w:val="24"/>
        </w:rPr>
        <w:t xml:space="preserve">. Except as the Committee may otherwise permit pursuant to the Plan, the rights and interests of the Participant under this Award Agreement may not be sold,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assigned, encumbered or otherwise transferred except, in the event of the death of the Participant, by will or by the laws of descent and distribution. In the event of any attempt by the Participant to alienate, assign, pledge, hypothecate, or otherwise dispose of the Performance Share Units or any right hereunder, except as provided for in this Award Agreement, or in the event of the levy or any attachment, execution or similar process upon the rights or interests hereby conferred, the Company may terminate the Performance Share Units by notice to the Participant, and the Performance Share Units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Applicable Law; Jurisdiction</w:t>
      </w:r>
      <w:r>
        <w:rPr>
          <w:rFonts w:ascii="Times New Roman;sans-serif" w:hAnsi="Times New Roman;sans-serif"/>
          <w:b w:val="false"/>
          <w:color w:val="000000"/>
          <w:sz w:val="24"/>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r>
        <w:rPr>
          <w:color w:val="000000"/>
        </w:rPr>
        <w:t xml:space="preserve"> </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xml:space="preserve">. Subject to Section 13 of this Award Agreement,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 </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Recoupment Policy</w:t>
      </w:r>
      <w:r>
        <w:rPr>
          <w:rFonts w:ascii="Times New Roman;sans-serif" w:hAnsi="Times New Roman;sans-serif"/>
          <w:b w:val="false"/>
          <w:color w:val="000000"/>
          <w:sz w:val="24"/>
        </w:rPr>
        <w:t>. The Participant agrees that, subject to the requirements of applicable law, the Performance Share Units, and the right to receive and retain any Company Stock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including, but not limited to, the Company’s Clawback Policy as set forth in the Principles of Corporate Governance, or other policy in effect from time to time, and any successor policy, whether approved before or after the Date of Grant. By accepting the Performance Share Units, the Participant agrees and acknowledges that the Participant is obligated to cooperate with, and provide any and all assistance necessary to, the Company to recover or recoup any such Performance Share Units or shares or amounts paid under the Performance Share Units subject to clawback or recoupment pursuant to such policy, listing standard or law. Such cooperation and assistance shall include, but is not limited to, executing, completing and submitting any documentation necessary to recover or recoup any such Performance Share Units or shares or amount paid from the Participant’s accounts, or pending or future compensation or Awards under the Plan.</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Electronic Delivery</w:t>
      </w:r>
      <w:r>
        <w:rPr>
          <w:rFonts w:ascii="Times New Roman;sans-serif" w:hAnsi="Times New Roman;sans-serif"/>
          <w:b w:val="false"/>
          <w:color w:val="000000"/>
          <w:sz w:val="24"/>
        </w:rPr>
        <w:t xml:space="preserve">. The Company may, in its sole discretion, deliver any documents relating to the Participant’s Performance Share Units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Plan through an on-line or electronic system established and maintained by the Company or another third-party designated by the Company.</w:t>
      </w:r>
    </w:p>
    <w:p>
      <w:pPr>
        <w:pStyle w:val="TextBody"/>
        <w:bidi w:val="0"/>
        <w:spacing w:lineRule="auto" w:line="240" w:before="0" w:after="2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pStyle w:val="TextBody"/>
        <w:bidi w:val="0"/>
        <w:spacing w:lineRule="auto" w:line="240" w:before="0" w:after="2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waiver by the Company with respect to the Participant’s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Except as permitted by the Plan, this Award Agreement may not be amended, modified, terminated or otherwise altered except by the written consent of the Company and the Participant. </w:t>
      </w:r>
    </w:p>
    <w:p>
      <w:pPr>
        <w:pStyle w:val="TextBody"/>
        <w:bidi w:val="0"/>
        <w:spacing w:lineRule="auto" w:line="240" w:before="0" w:after="2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Award Agreement may be executed in one or more counterparts, each of which will be deemed to be an original but all of which together will constitute one and the same instrument.</w:t>
      </w:r>
    </w:p>
    <w:p>
      <w:pPr>
        <w:pStyle w:val="TextBody"/>
        <w:bidi w:val="0"/>
        <w:spacing w:lineRule="auto" w:line="240" w:before="0" w:after="2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Binding Effect; No Third Party Beneficiaries</w:t>
      </w:r>
      <w:r>
        <w:rPr>
          <w:rFonts w:ascii="Times New Roman;sans-serif" w:hAnsi="Times New Roman;sans-serif"/>
          <w:b w:val="false"/>
          <w:color w:val="000000"/>
          <w:sz w:val="24"/>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pStyle w:val="TextBody"/>
        <w:bidi w:val="0"/>
        <w:spacing w:lineRule="auto" w:line="240" w:before="0" w:after="2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Application of Section 409A of the Code</w:t>
      </w:r>
      <w:r>
        <w:rPr>
          <w:rFonts w:ascii="Times New Roman;sans-serif" w:hAnsi="Times New Roman;sans-serif"/>
          <w:b w:val="false"/>
          <w:color w:val="000000"/>
          <w:sz w:val="24"/>
        </w:rPr>
        <w:t>. The Award covered by this Award Agreement is intended to be exempt from or otherwise comply with the provisions of Section 409A of the Code, as amended, and the regulations and other guidance promulgated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xml:space="preserve">). Notwithstanding the foregoing, if the Performance Share Units constitute “deferred compensation” under Section 409A and the Performance Share Units become vested and settled upon the Participant’s termination of employment, payment with respect to the Performance Share Units shall be delayed for a period of six months after the Participant’s termination of employment if the Participant is a “specified employee” as defined under Section 409A and if required pursuant to Section 409A. If payment is delayed, the Performance Share Units shall be settled and paid within thirty (30) days after the date that is six (6) months following the Participant’s termination of employment. Payments with respect to the Performance Share Units may only be paid in a manner and upon an event permitted by Section 409A, and each payment under the Performance Share Units shall be treated as a separate payment, and the right to a series of installment payments under the Performance Share Units shall be treated as a right to a series of separate payments. In no event shall the Participant, directly or indirectly, designate the calendar year of payment. The Company may change or modify the terms of this Award Agreement without the Participant’s consent or signature if the Company determines, in its sole discretion, that such change or modification is necessary for purposes of compliance with or exemption from the requirements of Section 409A or any regulations or other guidance issued thereunder. Notwithstanding the foregoing, the Company makes no representations and/or warranties with respect to compliance with Section 409A, and the Participant recognizes and acknowledges that Section 409A could potentially impose upon the Participant certain taxes and/or interest charges for which the Participant is and shall remain solely responsible.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Time for Acceptance</w:t>
      </w:r>
      <w:r>
        <w:rPr>
          <w:rFonts w:ascii="Times New Roman;sans-serif" w:hAnsi="Times New Roman;sans-serif"/>
          <w:b/>
          <w:color w:val="000000"/>
          <w:sz w:val="24"/>
        </w:rPr>
        <w:t>. Unless the Participant shall evidence acceptance of this Performance Share Unit Award Agreement by electronic or other means prescribed by the Committee within ninety (90) days after its delivery, the Performance Share Units shall be null and void (unless waived by the Committee).</w:t>
      </w:r>
    </w:p>
    <w:p>
      <w:pPr>
        <w:pStyle w:val="TextBody"/>
        <w:bidi w:val="0"/>
        <w:spacing w:lineRule="auto" w:line="240" w:before="0" w:after="240"/>
        <w:jc w:val="center"/>
        <w:rPr>
          <w:rFonts w:ascii="Times New Roman;sans-serif" w:hAnsi="Times New Roman;sans-serif"/>
          <w:b/>
          <w:i/>
          <w:color w:val="000000"/>
          <w:sz w:val="24"/>
        </w:rPr>
      </w:pPr>
      <w:r>
        <w:rPr>
          <w:rFonts w:ascii="Times New Roman;sans-serif" w:hAnsi="Times New Roman;sans-serif"/>
          <w:b/>
          <w:i/>
          <w:color w:val="000000"/>
          <w:sz w:val="24"/>
        </w:rPr>
        <w:t>[Signature Page Follows]</w:t>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caused its duly authorized officer to execute this Award Agreement, and the Participant has executed this Award Agreement, effective as of the Date of Grant.</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4"/>
        </w:rPr>
        <w:t>HAEMONETICS CORPORATION</w:t>
      </w:r>
    </w:p>
    <w:p>
      <w:pPr>
        <w:pStyle w:val="TextBody"/>
        <w:bidi w:val="0"/>
        <w:spacing w:before="0" w:after="24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_____________________________________</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 xml:space="preserve">Title: </w:t>
      </w:r>
    </w:p>
    <w:p>
      <w:pPr>
        <w:pStyle w:val="TextBody"/>
        <w:bidi w:val="0"/>
        <w:spacing w:before="0" w:after="240"/>
        <w:jc w:val="left"/>
        <w:rPr/>
      </w:pPr>
      <w:r>
        <w:rPr/>
      </w:r>
    </w:p>
    <w:p>
      <w:pPr>
        <w:pStyle w:val="TextBody"/>
        <w:bidi w:val="0"/>
        <w:spacing w:before="0" w:after="0"/>
        <w:jc w:val="center"/>
        <w:rPr/>
      </w:pPr>
      <w:r>
        <w:rPr/>
      </w:r>
    </w:p>
    <w:p>
      <w:pPr>
        <w:pStyle w:val="TextBody"/>
        <w:bidi w:val="0"/>
        <w:spacing w:lineRule="auto" w:line="240"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accept the award of Performance Share Units described in this Award Agreement, and I agree to be bound by the terms of the Plan and this Award Agreement. I hereby agree that all decisions and determinations of the Committee with respect to the Performance Share Units shall be final and binding.</w:t>
      </w:r>
    </w:p>
    <w:p>
      <w:pPr>
        <w:pStyle w:val="TextBody"/>
        <w:bidi w:val="0"/>
        <w:spacing w:lineRule="auto" w:line="240" w:before="0" w:after="0"/>
        <w:jc w:val="left"/>
        <w:rPr>
          <w:color w:val="000000"/>
        </w:rPr>
      </w:pPr>
      <w:r>
        <w:rPr>
          <w:color w:val="000000"/>
        </w:rPr>
        <w:t xml:space="preserv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p>
      <w:pPr>
        <w:pStyle w:val="TextBody"/>
        <w:bidi w:val="0"/>
        <w:spacing w:before="0" w:after="72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jc w:val="left"/>
        <w:rPr/>
      </w:pPr>
      <w:r>
        <w:rPr>
          <w:rFonts w:ascii="Cambria;sans-serif" w:hAnsi="Cambria;sans-serif"/>
          <w:b w:val="false"/>
          <w:color w:val="000000"/>
          <w:sz w:val="20"/>
        </w:rPr>
        <w:t>*</w:t>
      </w:r>
      <w:r>
        <w:rPr>
          <w:rFonts w:ascii="Cambria;sans-serif" w:hAnsi="Cambria;sans-serif"/>
          <w:b w:val="false"/>
          <w:color w:val="000000"/>
          <w:sz w:val="20"/>
          <w:u w:val="single"/>
        </w:rPr>
        <w:t>Appendix A</w:t>
      </w:r>
      <w:r>
        <w:rPr>
          <w:color w:val="000000"/>
        </w:rPr>
        <w:t> </w:t>
      </w:r>
      <w:r>
        <w:rPr>
          <w:rFonts w:ascii="Cambria;sans-serif" w:hAnsi="Cambria;sans-serif"/>
          <w:b w:val="false"/>
          <w:color w:val="000000"/>
          <w:sz w:val="20"/>
        </w:rPr>
        <w:t>omitted pursuant to Item 601(a)(5) of Regulation S-K. A copy of any omitted schedule and/or exhibit will be furnished as a supplement to the Securities and Exchange Commission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A. Simon,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August 8, 2023 </w:t>
      </w:r>
    </w:p>
    <w:tbl>
      <w:tblPr>
        <w:tblW w:w="571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556"/>
        <w:gridCol w:w="556"/>
        <w:gridCol w:w="556"/>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James C. D'Arecca,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bl>
      <w:tblPr>
        <w:tblW w:w="6366" w:type="dxa"/>
        <w:jc w:val="left"/>
        <w:tblInd w:w="0" w:type="dxa"/>
        <w:tblLayout w:type="fixed"/>
        <w:tblCellMar>
          <w:top w:w="28" w:type="dxa"/>
          <w:left w:w="28" w:type="dxa"/>
          <w:bottom w:w="28" w:type="dxa"/>
          <w:right w:w="28" w:type="dxa"/>
        </w:tblCellMar>
      </w:tblPr>
      <w:tblGrid>
        <w:gridCol w:w="124"/>
        <w:gridCol w:w="109"/>
        <w:gridCol w:w="109"/>
        <w:gridCol w:w="628"/>
        <w:gridCol w:w="628"/>
        <w:gridCol w:w="628"/>
        <w:gridCol w:w="628"/>
        <w:gridCol w:w="628"/>
        <w:gridCol w:w="628"/>
        <w:gridCol w:w="628"/>
        <w:gridCol w:w="628"/>
        <w:gridCol w:w="6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Haemonetics Corporation (the “Company”) on Form 10-Q for the period ended July 1, 2023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August 8, 2023 </w:t>
      </w:r>
    </w:p>
    <w:tbl>
      <w:tblPr>
        <w:tblW w:w="3918" w:type="dxa"/>
        <w:jc w:val="left"/>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356"/>
        <w:gridCol w:w="356"/>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bidi w:val="0"/>
        <w:spacing w:before="240" w:after="283"/>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Haemonetics Corporation (the “Company”) on Form 10-Q for the period ended July 1, 2023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August 8, 2023 </w:t>
      </w:r>
    </w:p>
    <w:tbl>
      <w:tblPr>
        <w:tblW w:w="4809" w:type="dxa"/>
        <w:jc w:val="left"/>
        <w:tblInd w:w="0" w:type="dxa"/>
        <w:tblLayout w:type="fixed"/>
        <w:tblCellMar>
          <w:top w:w="28" w:type="dxa"/>
          <w:left w:w="28" w:type="dxa"/>
          <w:bottom w:w="28" w:type="dxa"/>
          <w:right w:w="28" w:type="dxa"/>
        </w:tblCellMar>
      </w:tblPr>
      <w:tblGrid>
        <w:gridCol w:w="124"/>
        <w:gridCol w:w="109"/>
        <w:gridCol w:w="109"/>
        <w:gridCol w:w="455"/>
        <w:gridCol w:w="455"/>
        <w:gridCol w:w="455"/>
        <w:gridCol w:w="455"/>
        <w:gridCol w:w="455"/>
        <w:gridCol w:w="455"/>
        <w:gridCol w:w="455"/>
        <w:gridCol w:w="455"/>
        <w:gridCol w:w="4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3143/000031314319000035/exhibit31-restatedarticles.htm" TargetMode="External"/><Relationship Id="rId3" Type="http://schemas.openxmlformats.org/officeDocument/2006/relationships/hyperlink" Target="http://www.sec.gov/Archives/edgar/data/313143/000031314320000052/by-lawsasamended62920.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30385</Words>
  <Characters>164760</Characters>
  <CharactersWithSpaces>194288</CharactersWithSpaces>
  <Paragraphs>2384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