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29, 2024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200" w:right="1420" w:hanging="3956"/>
        <w:spacing w:after="0" w:line="520" w:lineRule="auto"/>
        <w:tabs>
          <w:tab w:leader="none" w:pos="66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001-14041</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HAEMONETICS CORPORATION</w:t>
      </w:r>
    </w:p>
    <w:p>
      <w:pPr>
        <w:spacing w:after="0" w:line="72"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13"/>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04-2882273</w:t>
            </w:r>
          </w:p>
        </w:tc>
      </w:tr>
      <w:tr>
        <w:trPr>
          <w:trHeight w:val="189"/>
        </w:trPr>
        <w:tc>
          <w:tcPr>
            <w:tcW w:w="6380" w:type="dxa"/>
            <w:vAlign w:val="bottom"/>
          </w:tcPr>
          <w:p>
            <w:pPr>
              <w:jc w:val="center"/>
              <w:ind w:right="3431"/>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0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638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97"/>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9"/>
              </w:rPr>
              <w:t>(781) 848-7100</w:t>
            </w:r>
          </w:p>
        </w:tc>
        <w:tc>
          <w:tcPr>
            <w:tcW w:w="1500" w:type="dxa"/>
            <w:vAlign w:val="bottom"/>
          </w:tcPr>
          <w:p>
            <w:pPr>
              <w:spacing w:after="0"/>
              <w:rPr>
                <w:sz w:val="24"/>
                <w:szCs w:val="24"/>
                <w:color w:val="auto"/>
              </w:rPr>
            </w:pPr>
          </w:p>
        </w:tc>
      </w:tr>
      <w:tr>
        <w:trPr>
          <w:trHeight w:val="210"/>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2"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4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HAE</w:t>
            </w:r>
          </w:p>
        </w:tc>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9" w:lineRule="exact"/>
        <w:rPr>
          <w:sz w:val="24"/>
          <w:szCs w:val="24"/>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760"/>
              <w:spacing w:after="0"/>
              <w:rPr>
                <w:sz w:val="20"/>
                <w:szCs w:val="20"/>
                <w:color w:val="auto"/>
              </w:rPr>
            </w:pPr>
            <w:r>
              <w:rPr>
                <w:rFonts w:ascii="Wingdings" w:cs="Wingdings" w:eastAsia="Wingdings" w:hAnsi="Wingdings"/>
                <w:sz w:val="22"/>
                <w:szCs w:val="22"/>
                <w:b w:val="1"/>
                <w:bCs w:val="1"/>
                <w:color w:val="auto"/>
              </w:rPr>
              <w:t>x</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0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4" w:lineRule="exact"/>
        <w:rPr>
          <w:sz w:val="24"/>
          <w:szCs w:val="24"/>
          <w:color w:val="auto"/>
        </w:rPr>
      </w:pPr>
    </w:p>
    <w:p>
      <w:pPr>
        <w:ind w:right="20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of $0.01 par value common stock outstanding as of August 6, 2024: 51,177,734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2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0" w:type="dxa"/>
            <w:vAlign w:val="bottom"/>
            <w:gridSpan w:val="25"/>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Borders>
              <w:top w:val="single" w:sz="8" w:color="0000FF"/>
              <w:bottom w:val="single" w:sz="8" w:color="0000FF"/>
            </w:tcBorders>
          </w:tcPr>
          <w:p>
            <w:pPr>
              <w:ind w:left="40"/>
              <w:spacing w:after="0"/>
              <w:rPr>
                <w:sz w:val="20"/>
                <w:szCs w:val="20"/>
                <w:color w:val="auto"/>
              </w:rPr>
            </w:pPr>
            <w:r>
              <w:rPr>
                <w:rFonts w:ascii="Times New Roman" w:cs="Times New Roman" w:eastAsia="Times New Roman" w:hAnsi="Times New Roman"/>
                <w:sz w:val="18"/>
                <w:szCs w:val="18"/>
                <w:b w:val="1"/>
                <w:bCs w:val="1"/>
                <w:color w:val="0000FF"/>
              </w:rPr>
              <w:t>1.</w:t>
            </w:r>
          </w:p>
        </w:tc>
        <w:tc>
          <w:tcPr>
            <w:tcW w:w="164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740" w:type="dxa"/>
            <w:vAlign w:val="bottom"/>
            <w:tcBorders>
              <w:top w:val="single" w:sz="8" w:color="0000FF"/>
            </w:tcBorders>
            <w:gridSpan w:val="4"/>
          </w:tcPr>
          <w:p>
            <w:pPr>
              <w:spacing w:after="0"/>
              <w:rPr>
                <w:sz w:val="24"/>
                <w:szCs w:val="24"/>
                <w:color w:val="auto"/>
              </w:rPr>
            </w:pPr>
          </w:p>
        </w:tc>
        <w:tc>
          <w:tcPr>
            <w:tcW w:w="714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Income and Comprehensive Income - Three Months Ended June 29, 2024 and July 1,</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2023</w:t>
            </w:r>
          </w:p>
        </w:tc>
        <w:tc>
          <w:tcPr>
            <w:tcW w:w="2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 - June 29, 2024 and Consolidated Balance Sheet - March 30, 2024</w:t>
            </w:r>
          </w:p>
        </w:tc>
        <w:tc>
          <w:tcPr>
            <w:tcW w:w="1600" w:type="dxa"/>
            <w:vAlign w:val="bottom"/>
            <w:gridSpan w:val="3"/>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w:t>
            </w:r>
            <w:r>
              <w:rPr>
                <w:rFonts w:ascii="Times New Roman" w:cs="Times New Roman" w:eastAsia="Times New Roman" w:hAnsi="Times New Roman"/>
                <w:sz w:val="18"/>
                <w:szCs w:val="18"/>
                <w:u w:val="single" w:color="auto"/>
                <w:color w:val="0E32E1"/>
              </w:rPr>
              <w:t>’</w:t>
            </w:r>
            <w:r>
              <w:rPr>
                <w:rFonts w:ascii="Times New Roman" w:cs="Times New Roman" w:eastAsia="Times New Roman" w:hAnsi="Times New Roman"/>
                <w:sz w:val="18"/>
                <w:szCs w:val="18"/>
                <w:color w:val="0000FF"/>
              </w:rPr>
              <w:t xml:space="preserve"> Equity - Three Months Ended June 29, 2024 and July 1, 2023</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 Three Months Ended June 29, 2024 and July 1, 2023</w:t>
            </w:r>
          </w:p>
        </w:tc>
        <w:tc>
          <w:tcPr>
            <w:tcW w:w="940" w:type="dxa"/>
            <w:vAlign w:val="bottom"/>
            <w:gridSpan w:val="2"/>
          </w:tcPr>
          <w:p>
            <w:pPr>
              <w:spacing w:after="0"/>
              <w:rPr>
                <w:sz w:val="18"/>
                <w:szCs w:val="18"/>
                <w:color w:val="auto"/>
              </w:rPr>
            </w:pP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2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18"/>
                <w:szCs w:val="18"/>
                <w:b w:val="1"/>
                <w:bCs w:val="1"/>
                <w:color w:val="0000FF"/>
              </w:rPr>
              <w:t>2.</w:t>
            </w:r>
          </w:p>
        </w:tc>
        <w:tc>
          <w:tcPr>
            <w:tcW w:w="686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6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3.</w:t>
            </w:r>
          </w:p>
        </w:tc>
        <w:tc>
          <w:tcPr>
            <w:tcW w:w="952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36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140" w:type="dxa"/>
            <w:vAlign w:val="bottom"/>
            <w:tcBorders>
              <w:top w:val="single" w:sz="8" w:color="0000FF"/>
              <w:bottom w:val="single" w:sz="8" w:color="0000FF"/>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0000FF"/>
                <w:w w:val="99"/>
              </w:rPr>
              <w:t>4. Controls and Procedures</w:t>
            </w:r>
          </w:p>
        </w:tc>
        <w:tc>
          <w:tcPr>
            <w:tcW w:w="2700" w:type="dxa"/>
            <w:vAlign w:val="bottom"/>
            <w:tcBorders>
              <w:top w:val="single" w:sz="8" w:color="0000FF"/>
            </w:tcBorders>
            <w:gridSpan w:val="8"/>
          </w:tcPr>
          <w:p>
            <w:pPr>
              <w:spacing w:after="0"/>
              <w:rPr>
                <w:sz w:val="24"/>
                <w:szCs w:val="24"/>
                <w:color w:val="auto"/>
              </w:rPr>
            </w:pPr>
          </w:p>
        </w:tc>
        <w:tc>
          <w:tcPr>
            <w:tcW w:w="488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38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Borders>
              <w:top w:val="single" w:sz="8" w:color="0000FF"/>
            </w:tcBorders>
          </w:tcPr>
          <w:p>
            <w:pPr>
              <w:ind w:left="40"/>
              <w:spacing w:after="0"/>
              <w:rPr>
                <w:sz w:val="20"/>
                <w:szCs w:val="20"/>
                <w:color w:val="auto"/>
              </w:rPr>
            </w:pPr>
            <w:r>
              <w:rPr>
                <w:rFonts w:ascii="Times New Roman" w:cs="Times New Roman" w:eastAsia="Times New Roman" w:hAnsi="Times New Roman"/>
                <w:sz w:val="18"/>
                <w:szCs w:val="18"/>
                <w:b w:val="1"/>
                <w:bCs w:val="1"/>
                <w:color w:val="0000FF"/>
              </w:rPr>
              <w:t>1.</w:t>
            </w:r>
          </w:p>
        </w:tc>
        <w:tc>
          <w:tcPr>
            <w:tcW w:w="208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74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1620" w:type="dxa"/>
            <w:vAlign w:val="bottom"/>
            <w:tcBorders>
              <w:top w:val="single" w:sz="8" w:color="0000FF"/>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0000FF"/>
              </w:rPr>
              <w:t>1A. Risk Factors</w:t>
            </w:r>
          </w:p>
        </w:tc>
        <w:tc>
          <w:tcPr>
            <w:tcW w:w="810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18"/>
                <w:szCs w:val="18"/>
                <w:b w:val="1"/>
                <w:bCs w:val="1"/>
                <w:color w:val="0000FF"/>
              </w:rPr>
              <w:t>2.</w:t>
            </w:r>
          </w:p>
        </w:tc>
        <w:tc>
          <w:tcPr>
            <w:tcW w:w="460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92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18"/>
                <w:szCs w:val="18"/>
                <w:b w:val="1"/>
                <w:bCs w:val="1"/>
                <w:color w:val="0000FF"/>
              </w:rPr>
              <w:t>3.</w:t>
            </w:r>
          </w:p>
        </w:tc>
        <w:tc>
          <w:tcPr>
            <w:tcW w:w="244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Defaults upon Senior Securities</w:t>
            </w:r>
          </w:p>
        </w:tc>
        <w:tc>
          <w:tcPr>
            <w:tcW w:w="708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18"/>
                <w:szCs w:val="18"/>
                <w:b w:val="1"/>
                <w:bCs w:val="1"/>
                <w:color w:val="0000FF"/>
              </w:rPr>
              <w:t>4.</w:t>
            </w:r>
          </w:p>
        </w:tc>
        <w:tc>
          <w:tcPr>
            <w:tcW w:w="18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Mine Safety Disclosures</w:t>
            </w:r>
          </w:p>
        </w:tc>
        <w:tc>
          <w:tcPr>
            <w:tcW w:w="76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9720" w:type="dxa"/>
            <w:vAlign w:val="bottom"/>
            <w:gridSpan w:val="23"/>
          </w:tcPr>
          <w:p>
            <w:pPr>
              <w:ind w:left="40"/>
              <w:spacing w:after="0"/>
              <w:rPr>
                <w:sz w:val="20"/>
                <w:szCs w:val="20"/>
                <w:color w:val="auto"/>
              </w:rPr>
            </w:pPr>
            <w:r>
              <w:rPr>
                <w:rFonts w:ascii="Times New Roman" w:cs="Times New Roman" w:eastAsia="Times New Roman" w:hAnsi="Times New Roman"/>
                <w:sz w:val="18"/>
                <w:szCs w:val="18"/>
                <w:b w:val="1"/>
                <w:bCs w:val="1"/>
                <w:color w:val="0000FF"/>
              </w:rPr>
              <w:t>5. Other Information</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ITEM</w:t>
            </w:r>
          </w:p>
        </w:tc>
        <w:tc>
          <w:tcPr>
            <w:tcW w:w="200" w:type="dxa"/>
            <w:vAlign w:val="bottom"/>
            <w:tcBorders>
              <w:top w:val="single" w:sz="8" w:color="0000FF"/>
            </w:tcBorders>
          </w:tcPr>
          <w:p>
            <w:pPr>
              <w:ind w:left="40"/>
              <w:spacing w:after="0"/>
              <w:rPr>
                <w:sz w:val="20"/>
                <w:szCs w:val="20"/>
                <w:color w:val="auto"/>
              </w:rPr>
            </w:pPr>
            <w:r>
              <w:rPr>
                <w:rFonts w:ascii="Times New Roman" w:cs="Times New Roman" w:eastAsia="Times New Roman" w:hAnsi="Times New Roman"/>
                <w:sz w:val="18"/>
                <w:szCs w:val="18"/>
                <w:b w:val="1"/>
                <w:bCs w:val="1"/>
                <w:color w:val="0000FF"/>
              </w:rPr>
              <w:t>6.</w:t>
            </w:r>
          </w:p>
        </w:tc>
        <w:tc>
          <w:tcPr>
            <w:tcW w:w="146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80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180" w:type="dxa"/>
            <w:vAlign w:val="bottom"/>
            <w:tcBorders>
              <w:top w:val="single" w:sz="8" w:color="0000FF"/>
            </w:tcBorders>
          </w:tcPr>
          <w:p>
            <w:pPr>
              <w:spacing w:after="0"/>
              <w:rPr>
                <w:sz w:val="24"/>
                <w:szCs w:val="24"/>
                <w:color w:val="auto"/>
              </w:rPr>
            </w:pPr>
          </w:p>
        </w:tc>
        <w:tc>
          <w:tcPr>
            <w:tcW w:w="8860" w:type="dxa"/>
            <w:vAlign w:val="bottom"/>
            <w:gridSpan w:val="20"/>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17"/>
          </w:tcPr>
          <w:p>
            <w:pPr>
              <w:ind w:left="48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left="360" w:right="166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INCOME AND COMPREHENSIVE INCOME (Unaudited in thousands, except per share data)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7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40" w:type="dxa"/>
            <w:vAlign w:val="bottom"/>
          </w:tcPr>
          <w:p>
            <w:pPr>
              <w:spacing w:after="0"/>
              <w:rPr>
                <w:sz w:val="11"/>
                <w:szCs w:val="11"/>
                <w:color w:val="auto"/>
              </w:rPr>
            </w:pPr>
          </w:p>
        </w:tc>
        <w:tc>
          <w:tcPr>
            <w:tcW w:w="1240" w:type="dxa"/>
            <w:vAlign w:val="bottom"/>
          </w:tcPr>
          <w:p>
            <w:pPr>
              <w:jc w:val="right"/>
              <w:ind w:right="492"/>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7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311,332</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144,067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167,265</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93,485</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113,606</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53,659</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51,590</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10,548</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41,042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29"/>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70"/>
        </w:trPr>
        <w:tc>
          <w:tcPr>
            <w:tcW w:w="7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50,542</w:t>
            </w:r>
          </w:p>
        </w:tc>
      </w:tr>
      <w:tr>
        <w:trPr>
          <w:trHeight w:val="23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w:t>
            </w:r>
          </w:p>
        </w:tc>
      </w:tr>
      <w:tr>
        <w:trPr>
          <w:trHeight w:val="270"/>
        </w:trPr>
        <w:tc>
          <w:tcPr>
            <w:tcW w:w="7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4"/>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41,905</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29,</w:t>
            </w:r>
          </w:p>
        </w:tc>
        <w:tc>
          <w:tcPr>
            <w:tcW w:w="28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30,</w:t>
            </w:r>
          </w:p>
        </w:tc>
        <w:tc>
          <w:tcPr>
            <w:tcW w:w="0" w:type="dxa"/>
            <w:vAlign w:val="bottom"/>
          </w:tcPr>
          <w:p>
            <w:pPr>
              <w:spacing w:after="0"/>
              <w:rPr>
                <w:sz w:val="1"/>
                <w:szCs w:val="1"/>
                <w:color w:val="auto"/>
              </w:rPr>
            </w:pPr>
          </w:p>
        </w:tc>
      </w:tr>
      <w:tr>
        <w:trPr>
          <w:trHeight w:val="214"/>
        </w:trPr>
        <w:tc>
          <w:tcPr>
            <w:tcW w:w="7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$5,719 at June 29, 2024 and $5,695 at March 30, 2024</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66,339</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768,903</w:t>
            </w:r>
          </w:p>
        </w:tc>
        <w:tc>
          <w:tcPr>
            <w:tcW w:w="0" w:type="dxa"/>
            <w:vAlign w:val="bottom"/>
          </w:tcPr>
          <w:p>
            <w:pPr>
              <w:spacing w:after="0"/>
              <w:rPr>
                <w:sz w:val="1"/>
                <w:szCs w:val="1"/>
                <w:color w:val="auto"/>
              </w:rPr>
            </w:pPr>
          </w:p>
        </w:tc>
      </w:tr>
      <w:tr>
        <w:trPr>
          <w:trHeight w:val="207"/>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less accumulated amortization of $469,659 at June 29, 2024 and $455,213 at March 30, 2024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406,117</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565,082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136,388</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2,540,977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73,358</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80,708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136,088</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300,383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1,218,477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797,564</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75,041</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$0.01 par value; Authorized — 150,000,000 shares; Issued and outstanding — 51,152,886 shares at</w:t>
            </w:r>
          </w:p>
        </w:tc>
        <w:tc>
          <w:tcPr>
            <w:tcW w:w="3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June 29, 2024 and 50,787,859 shares at March 30, 2024</w:t>
            </w:r>
          </w:p>
        </w:tc>
        <w:tc>
          <w:tcPr>
            <w:tcW w:w="3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634,627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360,456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959,959</w:t>
            </w:r>
          </w:p>
        </w:tc>
        <w:tc>
          <w:tcPr>
            <w:tcW w:w="0" w:type="dxa"/>
            <w:vAlign w:val="bottom"/>
          </w:tcPr>
          <w:p>
            <w:pPr>
              <w:spacing w:after="0"/>
              <w:rPr>
                <w:sz w:val="1"/>
                <w:szCs w:val="1"/>
                <w:color w:val="auto"/>
              </w:rPr>
            </w:pPr>
          </w:p>
        </w:tc>
      </w:tr>
      <w:tr>
        <w:trPr>
          <w:trHeight w:val="212"/>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2,540,977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380" w:right="230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STOCKHOLDERS’ EQUITY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8"/>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1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3"/>
          </w:tcPr>
          <w:p>
            <w:pPr>
              <w:jc w:val="center"/>
              <w:ind w:right="28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3"/>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tcPr>
          <w:p>
            <w:pPr>
              <w:jc w:val="right"/>
              <w:ind w:right="500"/>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40" w:type="dxa"/>
            <w:vAlign w:val="bottom"/>
          </w:tcPr>
          <w:p>
            <w:pPr>
              <w:spacing w:after="0"/>
              <w:rPr>
                <w:sz w:val="15"/>
                <w:szCs w:val="15"/>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30, 2024</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50,788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634,627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360,456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(35,632)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959,959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416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3,441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4,703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Purchase of capped call related to convertible notes</w:t>
            </w:r>
          </w:p>
        </w:tc>
        <w:tc>
          <w:tcPr>
            <w:tcW w:w="4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7,628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29, 2024</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51,153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560,881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386,642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(42,667)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905,368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8"/>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3"/>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(Loss)/Income</w:t>
            </w:r>
          </w:p>
        </w:tc>
        <w:tc>
          <w:tcPr>
            <w:tcW w:w="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April 1, 2023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50,449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594,706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253,168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(30,381)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817,997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4160" w:type="dxa"/>
            <w:vAlign w:val="bottom"/>
            <w:tcBorders>
              <w:top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7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(4,960)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(5,773)</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July 1, 2023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50,706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609,610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284,017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(29,518)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864,616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June 29,</w:t>
            </w:r>
          </w:p>
        </w:tc>
        <w:tc>
          <w:tcPr>
            <w:tcW w:w="320" w:type="dxa"/>
            <w:vAlign w:val="bottom"/>
          </w:tcPr>
          <w:p>
            <w:pPr>
              <w:spacing w:after="0"/>
              <w:rPr>
                <w:sz w:val="13"/>
                <w:szCs w:val="13"/>
                <w:color w:val="auto"/>
              </w:rPr>
            </w:pPr>
          </w:p>
        </w:tc>
        <w:tc>
          <w:tcPr>
            <w:tcW w:w="1260" w:type="dxa"/>
            <w:vAlign w:val="bottom"/>
          </w:tcPr>
          <w:p>
            <w:pPr>
              <w:jc w:val="right"/>
              <w:ind w:right="488"/>
              <w:spacing w:after="0" w:line="158" w:lineRule="exact"/>
              <w:rPr>
                <w:sz w:val="20"/>
                <w:szCs w:val="20"/>
                <w:color w:val="auto"/>
              </w:rPr>
            </w:pPr>
            <w:r>
              <w:rPr>
                <w:rFonts w:ascii="Times New Roman" w:cs="Times New Roman" w:eastAsia="Times New Roman" w:hAnsi="Times New Roman"/>
                <w:sz w:val="16"/>
                <w:szCs w:val="16"/>
                <w:b w:val="1"/>
                <w:bCs w:val="1"/>
                <w:color w:val="auto"/>
              </w:rPr>
              <w:t>July 1,</w:t>
            </w:r>
          </w:p>
        </w:tc>
      </w:tr>
      <w:tr>
        <w:trPr>
          <w:trHeight w:val="214"/>
        </w:trPr>
        <w:tc>
          <w:tcPr>
            <w:tcW w:w="7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38,373</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41,042</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23,032</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fair value inventory step-up</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repurchase of convertible senior notes, net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Inventory reserve adjustment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Gains on sales of property, plant and equipment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operating assets and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accounts receivable</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inventories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(29,396)</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prepaid income taxes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other assets and other liabilities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(9,986)</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accounts payable and accrued expenses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(14,927)</w:t>
            </w:r>
          </w:p>
        </w:tc>
      </w:tr>
      <w:tr>
        <w:trPr>
          <w:trHeight w:val="189"/>
        </w:trPr>
        <w:tc>
          <w:tcPr>
            <w:tcW w:w="79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19,086</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transfers from inventory to property, plant and equipment for Haemonetics equipment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net of cash acquired</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(149,151)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96"/>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investments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20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(139,197)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(15,261)</w:t>
            </w: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convertible senior notes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capped call related to convertible notes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borrowings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 redemption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revolving facility</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term loan borrowings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used to net share settle employee equity awards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196"/>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20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333,692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96"/>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r>
      <w:tr>
        <w:trPr>
          <w:trHeight w:val="196"/>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178,800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284,466</w:t>
            </w:r>
          </w:p>
        </w:tc>
      </w:tr>
      <w:tr>
        <w:trPr>
          <w:trHeight w:val="227"/>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344,429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285,719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right="8780" w:firstLine="8"/>
        <w:spacing w:after="0" w:line="565"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Presentation</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June 29, 2024 are not necessarily indicative of the results that may be expected for the full fiscal year ending March 29, 2025 or any other interim period. These unaudited condensed consolidated financial statements should be read in conjunction with the audited consolidated financial statements and footnotes included in the Annual Report on Form 10-K for the fiscal year ended March 30, 2024.</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three months ended June 29, 2024.</w:t>
      </w:r>
    </w:p>
    <w:p>
      <w:pPr>
        <w:spacing w:after="0" w:line="199" w:lineRule="exact"/>
        <w:rPr>
          <w:sz w:val="20"/>
          <w:szCs w:val="20"/>
          <w:color w:val="auto"/>
        </w:rPr>
      </w:pPr>
    </w:p>
    <w:p>
      <w:pPr>
        <w:ind w:right="7140" w:firstLine="8"/>
        <w:spacing w:after="0" w:line="51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Standards to be Implemented</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Codification (“ASC”) Update No. 2023-07, Segment Reporting (Topic 280). The new guidance requires public entities to provide expanded disclosures over significant segment expenses and additional disclosures related to the chief operating decision maker. ASC Update No. 2023-07 is effective for fiscal years beginning after December 15, 2023 and interim periods within fiscal years beginning after December 15, 2023 and interim periods within fiscal years beginning after December 15, 2024, with early adoption permitted. The new guidance is applicable to Haemonetics beginning with the fiscal 2025 Annual Report on Form 10-K. The Company is currently evaluating the impact to its interim and annual report disclosures.</w:t>
      </w:r>
    </w:p>
    <w:p>
      <w:pPr>
        <w:spacing w:after="0" w:line="21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ASC Update No. 2023-09, Income Taxes (Topic 740). ASC Update No. 2023-09 requires public entities to provide detailed income tax disclosures, including rate reconciliations and disaggregated income tax payment information, on an annual basis. The updated guidance is effective for fiscal years beginning after December 15, 2024 and early adoption is permitted. ASC Update No. 2023-09 is applicable to Haemonetics beginning with the fiscal 2026 Annual Report on Form 10-K and the Company is currently evaluating the impact to its annual report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STRATEGIC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Attune Medical</w:t>
      </w:r>
    </w:p>
    <w:p>
      <w:pPr>
        <w:spacing w:after="0" w:line="2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March 5, 2024, the Company entered into a definitive agreement to acquire Advanced Cooling Therapy, Inc., d/b/a Attune Medical (“Attune Medical”), the manufacturer of the ensoETM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proactive esophageal cooling device, pursuant to which, among other things, the Company agreed to acquire all of the issued and outstanding common shares of Attune Medical. On April 1, 2024, the Company completed its acquisition of Attune Medical for total consideration of $186.2 million, which included an upfront cash payment of $160.7 million, or $149.2 million net of cash acquired, the fair value of contingent consideration of $25.0 million, and $0.5 million of estimated working capital adjustments. The Company’s purchase price is subject to customary working capital and certain other adjustments as of the closing of the transaction and additional contingent consideration based on sales growth over the next three years, which is uncapped, and the achievement of certain other milestones. The Company financed the acquisition through a combination of cash on hand and borrowings under its senior unsecured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Condensed Consolidated Financial Statements were prepared. The most significant open items include the valuation of certain intangible assets, contingent consideration and the accounting for income taxes as the Company is awaiting additional information to complete its assessment of these matters. Measurement period adjustments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 As of June 29, 2024,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spacing w:after="0" w:line="2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preliminary purchase price of $174.7 million, net of $11.5 million of cash acquired consists of the amounts presented below, which represent the preliminary determination of the fair value of the identifiable assets acquired and liabilities assumed: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1, 2024</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69,542</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204,132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29,471</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174,661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determined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 As of June 29, 2024, the valuation of the intangible assets is preliminary as the Company is still evaluating information related to the assets’ cash flow projections.</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Attune Medical, the Company recognized goodwill of $69.5 million based 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expected synergies from integration into our Hospital business. The goodwill is not deductible for tax purposes and relates entirely to the Hospital reportable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8"/>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103,400</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recorded a long-term net deferred tax liability of $24.6 million primarily related to definite-lived intangible assets which cannot be deducted for tax purposes, partially offset by deferred tax assets primarily related to net operating losses acquired.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incurred $9.8 million of acquisition-related costs for the three months ended June 29, 2024 in connection with the acquisition. These costs related to legal and other professional fees, which were recognized in selling, general and administrative on the Condensed Consolidated Statements of Income.</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Attune Medical from the date the acquisition was completed. Pro forma financial information has not been presented as the acquisition is not material to the Company’s overall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OpSens Inc.</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its senior unsecured revolving credit facility.</w:t>
      </w:r>
    </w:p>
    <w:p>
      <w:pPr>
        <w:spacing w:after="0" w:line="21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sensor-guided 3-in-1 guidewire for TAVR procedures, advancing the workflow of the procedure and enabling potentially shorter hospital stays for patients; and the OptoWire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The purchase price of $243.9 million, net of $10.6 million of cash acquired consists of the amounts presented below, which represent the final determination of the fair value of the identifiable assets acquired and liabilities assumed: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12, 2023</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279,230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35,378</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Company determined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OpSens, the Company recognized goodwill of $79.4 million based on expected synergies from integration into our Hospital business. The goodwill is not deductible for tax purposes and relates entirely to the Hospital reportable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8"/>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172,000</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recorded a net long-term deferred tax liability of $14.8 million, primarily as a result of fair value adjustments recorded associated with intangible assets and inventory in which there is no tax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incurred $6.6 million of acquisition-related costs for fiscal 2024 in connection with the OpSens acquisition. These costs related to legal and other professional fees, which were recognized in selling, general and administrative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OpSens from the date the acquisition was completed. Pro forma financial information has not been presented as the acquisition is not material to the Company’s overall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part of the Company’s business development activities, it holds strategic investments in certain entities. During fiscal 2024, the Company made an additional investment in Vivasure Medical LTD (“Vivasure”) of €5.0 million, resulting in total investment of €35 million. The investments include both preferred stock and a special share that allows the Company to acquire Vivasure in accordance with an agreement between the parties. In addition, the Company made other certain strategic investments totaling $7.6 million during fiscal 2024. The Company’s strategic investments are classified as other long-term assets on the Company’s Condensed Consolidated Balance Sheets and the Company has not recorded any adjustments to the carrying value of our strategic investments during three months ended June 29, 2024 and July 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29, 2024, the Company had $28.9 million of transaction price allocated to remaining performance obligations related to executed contracts with an original duration of one year or more. The Company expects to recognize approximately 77% of this amount as revenue within the next twelve months and the remaining balance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29, 2024 and March 30, 2024, the Company had contract liabilities of $33.6 million and $31.2 million, respectively. During the three months ended June 29, 2024, the Company recognized $13.3 million of revenue that was included in the above March 30, 2024 contract liability balance. Contract liabilities are classified as other current liabilities on the Condensed Consolidated Balance Sheet. As of June 29, 2024 and March 30, 2024, the Company’s contract assets were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Excellence Program</w:t>
      </w:r>
    </w:p>
    <w:p>
      <w:pPr>
        <w:spacing w:after="0" w:line="2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between $85 million and $95 million by the end of fiscal 2025 under the program. The majority of charges will result in cash outlays, including severance and other employee costs, and will be incurred as the specific actions required to execute these initiatives are identified and approved. During the three months ended June 29, 2024 and July 1, 2023 the Company incurred $2.4 million and $2.2 million of restructuring and restructuring related costs under this program, respectively. Total cumulative charges under this program are $79.4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Rationalization Initiatives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facilities. In the three months ended June 29, 2024, the Company incurred $4.8 million of restructuring and restructuring related costs related to portfolio rationalization initiatives.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restructuring reserves related to portfolio rationalization initiatives and the 2020 Program for the three months ended June 29, 2024, which relates to employee severance, other employee costs and inventory reserves: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Rationalization</w:t>
            </w: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38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w:t>
            </w:r>
          </w:p>
        </w:tc>
      </w:tr>
      <w:tr>
        <w:trPr>
          <w:trHeight w:val="20"/>
        </w:trPr>
        <w:tc>
          <w:tcPr>
            <w:tcW w:w="6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restructuring costs by line item within our accompanying unaudited Condensed Consolidated Statements of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8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4,366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4,622</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29, 2024, the Company had a restructuring liability of $13.3 million, all of which is payable within the next twelve months.</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restructuring expenses included in the table above, the Company also incurred costs that do not constitute restructuring costs under ASC 420, </w:t>
      </w:r>
      <w:r>
        <w:rPr>
          <w:rFonts w:ascii="Times New Roman" w:cs="Times New Roman" w:eastAsia="Times New Roman" w:hAnsi="Times New Roman"/>
          <w:sz w:val="18"/>
          <w:szCs w:val="18"/>
          <w:i w:val="1"/>
          <w:iCs w:val="1"/>
          <w:color w:val="auto"/>
        </w:rPr>
        <w:t>Exit and Disposal Cost Obligations,</w:t>
      </w:r>
      <w:r>
        <w:rPr>
          <w:rFonts w:ascii="Times New Roman" w:cs="Times New Roman" w:eastAsia="Times New Roman" w:hAnsi="Times New Roman"/>
          <w:sz w:val="18"/>
          <w:szCs w:val="18"/>
          <w:color w:val="auto"/>
        </w:rPr>
        <w:t xml:space="preserve"> and which the Company instead refers to as restructuring related costs. These costs consist primarily of expenditures directly related to the restructuring actions.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4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6"/>
                <w:szCs w:val="16"/>
                <w:color w:val="auto"/>
              </w:rPr>
            </w:pP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6"/>
                <w:szCs w:val="16"/>
                <w:color w:val="auto"/>
              </w:rPr>
            </w:pP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and restructuring related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tax rate is adversely impacted by non-deductible expenses including executive compensation and transaction costs.</w:t>
      </w:r>
    </w:p>
    <w:p>
      <w:pPr>
        <w:spacing w:after="0" w:line="23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For the three months ended June 29, 2024, the Company reported income tax expense of $8.3 million, representing an effective tax rate of 17.9%. The effective tax rate for the three months ended June 29, 2024 includes $3.6 million of discrete tax benefit, primarily related to stock compensation windfalls. The discrete benefit also includes other items such as provision to return differences.</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months ended July 1, 2023, the Company reported income tax expense of $10.5 million, representing an effective tax rate of 20.4%. The effective tax rate for the three months ended July 1, 2023 includes $1.2 million of discrete tax benefit primarily related to stock compensation windfalls.</w:t>
      </w:r>
    </w:p>
    <w:p>
      <w:pPr>
        <w:spacing w:after="0" w:line="1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decrease in the reported tax rates for the three months ended June 29, 2024, compared to the same period in fiscal 2024, relates primarily to increased discrete tax benefits year-over-year, partially offset by unfavorable impact of jurisdictional mix of earnings and non-deductible acquisition-related expenses.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340" w:type="dxa"/>
            <w:vAlign w:val="bottom"/>
          </w:tcPr>
          <w:p>
            <w:pPr>
              <w:spacing w:after="0"/>
              <w:rPr>
                <w:sz w:val="11"/>
                <w:szCs w:val="11"/>
                <w:color w:val="auto"/>
              </w:rPr>
            </w:pPr>
          </w:p>
        </w:tc>
        <w:tc>
          <w:tcPr>
            <w:tcW w:w="136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60" w:type="dxa"/>
            <w:vAlign w:val="bottom"/>
          </w:tcPr>
          <w:p>
            <w:pPr>
              <w:spacing w:after="0"/>
              <w:rPr>
                <w:sz w:val="11"/>
                <w:szCs w:val="11"/>
                <w:color w:val="auto"/>
              </w:rPr>
            </w:pPr>
          </w:p>
        </w:tc>
        <w:tc>
          <w:tcPr>
            <w:tcW w:w="1240" w:type="dxa"/>
            <w:vAlign w:val="bottom"/>
          </w:tcPr>
          <w:p>
            <w:pPr>
              <w:jc w:val="right"/>
              <w:ind w:right="514"/>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5"/>
        </w:trPr>
        <w:tc>
          <w:tcPr>
            <w:tcW w:w="7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50,542</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50,542</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prices, and consequently no shares have been included in diluted earnings per share for the conversion values of both convertible senior notes. For the three months ended June 29, 2024 and July 1, 2023, weighted average shares outstanding, assuming dilution, excludes the impact of 0.7 million and $0.6 million anti-dilutive shares,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 As of June 29, 2024, the total remaining authorization for repurchases of the Company's common stock under the share repurchase program was $225.0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25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tbl>
      <w:tblPr>
        <w:tblLayout w:type="fixed"/>
        <w:tblInd w:w="0" w:type="dxa"/>
        <w:tblCellMar>
          <w:top w:w="0" w:type="dxa"/>
          <w:left w:w="0" w:type="dxa"/>
          <w:bottom w:w="0" w:type="dxa"/>
          <w:right w:w="0" w:type="dxa"/>
        </w:tblCellMar>
      </w:tblPr>
      <w:tr>
        <w:trPr>
          <w:trHeight w:val="149"/>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00" w:type="dxa"/>
            <w:vAlign w:val="bottom"/>
          </w:tcPr>
          <w:p>
            <w:pPr>
              <w:spacing w:after="0"/>
              <w:rPr>
                <w:sz w:val="12"/>
                <w:szCs w:val="12"/>
                <w:color w:val="auto"/>
              </w:rPr>
            </w:pPr>
          </w:p>
        </w:tc>
        <w:tc>
          <w:tcPr>
            <w:tcW w:w="1300" w:type="dxa"/>
            <w:vAlign w:val="bottom"/>
          </w:tcPr>
          <w:p>
            <w:pPr>
              <w:jc w:val="center"/>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79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167,564</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373,787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317,202</w:t>
            </w:r>
          </w:p>
        </w:tc>
        <w:tc>
          <w:tcPr>
            <w:tcW w:w="0" w:type="dxa"/>
            <w:vAlign w:val="bottom"/>
          </w:tcPr>
          <w:p>
            <w:pPr>
              <w:spacing w:after="0"/>
              <w:rPr>
                <w:sz w:val="1"/>
                <w:szCs w:val="1"/>
                <w:color w:val="auto"/>
              </w:rPr>
            </w:pPr>
          </w:p>
        </w:tc>
      </w:tr>
      <w:tr>
        <w:trPr>
          <w:trHeight w:val="21"/>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300" w:type="dxa"/>
            <w:vAlign w:val="bottom"/>
          </w:tcPr>
          <w:p>
            <w:pPr>
              <w:spacing w:after="0"/>
              <w:rPr>
                <w:sz w:val="24"/>
                <w:szCs w:val="24"/>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6"/>
        </w:trPr>
        <w:tc>
          <w:tcPr>
            <w:tcW w:w="79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124,338</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204,622</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129,979</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456,414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959,177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(647,815)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$14.6 million and $13.3 million for the three months ended June 29, 2024 and July 1, 2023, respectively.</w:t>
      </w:r>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2025, the Company received $19.9 million of cash upon the sale of a manufacturing facility and related assets that previously met held for sale criteria, which resulted in a gain of $14.1 million that was recorded in Selling, general and administrative expenses on the Condensed Consolidated Statements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3 percent of the Company’s total net sales.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for fiscal 2025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Plasma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Blood Center</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Hospital</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30, 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565,082</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June 29, 2024</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613,347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decrease in goodwill of $20.0 million for purchase accounting adjustments was primarily related to the Company obtaining additional facts and information to finalize the pre-acquisition tax returns and associated analyses for OpSens. This resulted in the Company revising its estimate of the net deferred tax liability recorded as of the acquisition date. Refer to Note 3, </w:t>
      </w:r>
      <w:r>
        <w:rPr>
          <w:rFonts w:ascii="Times New Roman" w:cs="Times New Roman" w:eastAsia="Times New Roman" w:hAnsi="Times New Roman"/>
          <w:sz w:val="18"/>
          <w:szCs w:val="18"/>
          <w:i w:val="1"/>
          <w:iCs w:val="1"/>
          <w:color w:val="auto"/>
        </w:rPr>
        <w:t>Acquisitions and Strategic Investments,</w:t>
      </w:r>
      <w:r>
        <w:rPr>
          <w:rFonts w:ascii="Times New Roman" w:cs="Times New Roman" w:eastAsia="Times New Roman" w:hAnsi="Times New Roman"/>
          <w:sz w:val="18"/>
          <w:szCs w:val="18"/>
          <w:color w:val="auto"/>
        </w:rPr>
        <w:t xml:space="preserve"> for additional information regarding the acquisitions of OpSens and Attune Medical.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intangible assets and the related accumulated amortization as of June 29, 2024 and March 30, 2024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29, 2024</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381,797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958,432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469,659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488,773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24"/>
                <w:szCs w:val="24"/>
                <w:color w:val="auto"/>
              </w:rPr>
            </w:pPr>
          </w:p>
        </w:tc>
        <w:tc>
          <w:tcPr>
            <w:tcW w:w="10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30, 2024</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843,096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455,213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387,883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fiscal 2025, the Company acquired Attune Medical and recorded $94.0 million of developed technology, $7.6 million of customer contracts and related relationships and $1.8 million of trade name intangibles based on our preliminary purchase accounting valuation. Refer to Note 3, </w:t>
      </w:r>
      <w:r>
        <w:rPr>
          <w:rFonts w:ascii="Times New Roman" w:cs="Times New Roman" w:eastAsia="Times New Roman" w:hAnsi="Times New Roman"/>
          <w:sz w:val="18"/>
          <w:szCs w:val="18"/>
          <w:i w:val="1"/>
          <w:iCs w:val="1"/>
          <w:color w:val="auto"/>
        </w:rPr>
        <w:t>Acquisitions and Strategic Investments,</w:t>
      </w:r>
      <w:r>
        <w:rPr>
          <w:rFonts w:ascii="Times New Roman" w:cs="Times New Roman" w:eastAsia="Times New Roman" w:hAnsi="Times New Roman"/>
          <w:sz w:val="18"/>
          <w:szCs w:val="18"/>
          <w:color w:val="auto"/>
        </w:rPr>
        <w:t xml:space="preserve"> for additional information regarding the acquisition.</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2025, the Company announced the commercialization of MVP XL and moved the related in-process research and development intangible asset to developed technologies, and commenced amortization.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include the value assigned to license rights and other developed technology, patents, customer contracts and relationships and trade names.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of these intangible assets are approximately 5 to 15 years.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$14.5 million and $9.7 million for the three months ended June 29, 2024 and July 1, 2023,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amortization expense on intangible assets for the next five years is estimated to be as follows: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32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39,591</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49,070</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45,350</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44,156</w:t>
            </w:r>
          </w:p>
        </w:tc>
      </w:tr>
      <w:tr>
        <w:trPr>
          <w:trHeight w:val="554"/>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NOTES PAYABLE AND LONG-TERM DEBT</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financing fees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261,971</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1,218,477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797,564</w:t>
            </w:r>
          </w:p>
        </w:tc>
      </w:tr>
      <w:tr>
        <w:trPr>
          <w:trHeight w:val="21"/>
        </w:trPr>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w:t>
      </w:r>
    </w:p>
    <w:p>
      <w:pPr>
        <w:spacing w:after="0" w:line="25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(the “2026 Notes”). The 2026 Notes are governed by the terms of the Indenture between the Company and U.S. Bank National Association, as trustee. The 2026 Notes will mature on March 1, 2026, unless earlier converted, redeemed or repurchased. 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income (expense), net on the Condensed Consolidated Statements of Income.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2025, the conditions allowing holders of the 2026 Notes to convert have not been met. The 2026 Notes were therefore not convertible as of June 29, 2024 and were classified as long-term debt on the Company’s Condensed Consolidated Balance Sheets.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June 29, 2024, the $300.0 million principal balance was netted down by $2.6 million of remaining debt issuance costs, resulting in a net convertible note payable of $297.4 million. Interest expense related to the 2026 Notes was $0.7 million for the three months ended June 29, 2024, which is entirely attributable to the amortization of the debt issuance costs. The remaining debt issuance costs are amortized at an effective interest rate of 0.5%.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Notes</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28, 2024, the Company issued $700.0 million aggregate principal amount of 2.5% convertible senior notes due 2029 (the “2029 Notes”). The 2029 Notes are governed by the terms of the Indenture between the Company and U.S. Bank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2026 Notes and to complete capped call transactions in connection with the issuance of the 2029 Notes, as described further below. The Company intends to use the remainder of the proceeds for working capital and other general purposes, which may include additional repurchases of the 2026 Notes from time to time following the offering, or the repayment at maturity of the 2026 Notes. The 2029 Notes will mature on June 1, 2029, unless earlier converted, redeemed or repurchased.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December 1, 2028 only under the following circumstances:</w:t>
      </w:r>
    </w:p>
    <w:p>
      <w:pPr>
        <w:spacing w:after="0" w:line="189" w:lineRule="exact"/>
        <w:rPr>
          <w:sz w:val="20"/>
          <w:szCs w:val="20"/>
          <w:color w:val="auto"/>
        </w:rPr>
      </w:pPr>
    </w:p>
    <w:p>
      <w:pPr>
        <w:ind w:left="660" w:right="1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20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spacing w:after="0" w:line="202"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2029 Notes for redemption.</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spacing w:after="0" w:line="2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2025, the conditions allowing holders of the 2029 Notes to convert have not been met. The 2029 Notes were therefore not convertible as of June 29, 2024 and were classified as long-term debt on the Company’s consolidated balance sheets.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spacing w:after="0" w:line="200" w:lineRule="exact"/>
        <w:rPr>
          <w:sz w:val="20"/>
          <w:szCs w:val="20"/>
          <w:color w:val="auto"/>
        </w:rPr>
      </w:pPr>
    </w:p>
    <w:p>
      <w:pPr>
        <w:spacing w:after="0" w:line="2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 result of the issuance of the 2029 Notes, the Company recorded debt issuance costs of $17.2 million, which will be amortized to interest expense over the contractual term of the 2029 Notes at an effective interest rate of 3.0%.</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29, 2024, the $700.0 million principal balance was netted down by $17.0 million of remaining debt issuance costs, resulting in a net convertible note payable of $683.0 million. Interest expense related to the 2029 Notes was $1.4 million for the three months ended June 29, 2024, which includes nominal interest expense and the amortization of the debt issuance costs.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2029 Notes, the Company entered into capped call transactions with certain counterparties (“Capped Calls”). The Capped Calls each have an initial strike price of approximately $117.12 per share, subject to certain adjustments, which corresponds to the initial conversion price of the 2029 Notes. The Capped Calls have initial cap prices of $180.18 per share, subject to certain adjustments. The Capped Calls are expected to partially offset the potential dilution to the Company’s common stock upon any conversion of the 2029 Notes, with such offset subject to a cap based on the cap price. The Capped Calls cover, subject to anti-dilution adjustments, approximately 5.98 million shares of the Company’s common stock. For accounting purposes, the Capped Calls are separate transactions, and not part of the 2029 Notes. As these transactions meet certain accounting criteria, the Capped Calls are recorded in stockholders' equity and are not accounted for as derivatives. The cost of $88.2 million incurred to purchase the Capped Calls was recorded as a reduction to additional paid-in capital and will not be remeasured.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 their maturity date through June 2025. The amended and restated credit agreement provided for a $280.0 million senior unsecured term loan and a $420.0 million senior unsecured revolving credit facility (together, the “2022 Revised Credit Facilities”) with applicable interest rates during the period established using an annual rate equal to the Adjusted Term SOFR Rate plus an applicable rate ranging from 1.125% to 1.750% based on the Company’s consolidated net leverage ratio, as specified in the agreement.</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will initially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2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2024 Revised Credit Facilities, the Company is required to maintain a consolidated leverage ratio not to exceed 4.0:1.0 or, on up to two occasions during the term of the facility, 4.5:1.0 for the four consecutive fiscal quarters ended immediately following acquisitions meeting certain criteria specified in the agreement.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which resulted in the capitalization of an additional $5.9 million in lender fees and third-party costs. During the three months ended June 29, 2024, the Company recognized $7.1 million of interest expense and amortization of debt issuance costs related to its credit facilities.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29, 2024, $248.4 million was outstanding under the term loan with an effective interest rate of 6.8%, which was netted down by the $6.2 million of remaining debt discount, resulting in a net note payable of $242.2 million. The Company has scheduled principal payments of $6.3 million required during the 12 months following June 29, 2024. There were no outstanding borrowings under the revolving credit facilities at June 29, 2024, as the Company paid all outstanding borrowings during the first quarter of fiscal 2025. The Company also had $17.6 million of uncommitted operating lines of credit to fund its global operations under which there were no outstanding borrowings as of June 29, 2024.</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leverage and interest coverage ratios specified in the 2024 Revised Credit Facilities as well as all other bank covenants as of June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aggregate amount of debt maturities are as follows:</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4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307,916</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4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900,550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 AND FAIR VALUE MEASUREMENTS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its products globally. During the three months ended June 29, 2024, 26.0% of the Company’s sales were generated outside the U.S. in local currencies. The Company also incurs certain manufacturing, marketing and selling costs in international markets in local currency.</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Foreign Currency Hedge Contracts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June 29, 2024 and March 30, 2024 were cash flow hedges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Company records the effective portion of any change in the fair value of designated foreign currency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$49.0 million as of June 29, 2024 and $74.0 million as of March 30, 2024. At June 29, 2024, a gain of $0.3 million, net of tax, will be reclassified to earnings within the next twelve months. All currency cash flow hedges outstanding as of June 29, 2024 mature within twelve months.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Foreign Currency Contracts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$27.4 million as of June 29, 2024 and $39.9 million as of March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 their maturity date through June 2025. The 2022 Revised Credit Facilities include a $280.0 million senior unsecured term loan and a $420.0 million senior unsecured revolving credit facility. Loans under the 2022 Revised Credit Facilities bear interest at an annual rate equal to the 1-month USD Term SOFR plus 0.10% and an applicable rate ranging from 1.125% to 1.750% based on the Company’s consolidated net leverage ratio. In September 2022, the Company entered into four interest rate swaps, two of which expired in June 2023. The Company has concluded that the two remaining interest rate swaps, which have an average blended fixed interest rate of 4.12% plus the applicable rate and cover approximately 80% of the notional value of the unsecured term loan through maturity in June 2025, are effective and qualify for hedge accounting treatment. The interest rate swaps remain unchanged as a result of the 2024 refinancing of the credit facilities.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June 29,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10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0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68"/>
        </w:trPr>
        <w:tc>
          <w:tcPr>
            <w:tcW w:w="2500" w:type="dxa"/>
            <w:vAlign w:val="bottom"/>
            <w:gridSpan w:val="2"/>
            <w:vMerge w:val="continue"/>
          </w:tcPr>
          <w:p>
            <w:pPr>
              <w:spacing w:after="0"/>
              <w:rPr>
                <w:sz w:val="5"/>
                <w:szCs w:val="5"/>
                <w:color w:val="auto"/>
              </w:rPr>
            </w:pPr>
          </w:p>
        </w:tc>
        <w:tc>
          <w:tcPr>
            <w:tcW w:w="1120" w:type="dxa"/>
            <w:vAlign w:val="bottom"/>
            <w:gridSpan w:val="2"/>
            <w:vMerge w:val="restart"/>
          </w:tcPr>
          <w:p>
            <w:pPr>
              <w:ind w:left="240"/>
              <w:spacing w:after="0" w:line="146"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140" w:type="dxa"/>
            <w:vAlign w:val="bottom"/>
            <w:vMerge w:val="restart"/>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Value Assets</w:t>
            </w:r>
          </w:p>
        </w:tc>
        <w:tc>
          <w:tcPr>
            <w:tcW w:w="0" w:type="dxa"/>
            <w:vAlign w:val="bottom"/>
          </w:tcPr>
          <w:p>
            <w:pPr>
              <w:spacing w:after="0"/>
              <w:rPr>
                <w:sz w:val="1"/>
                <w:szCs w:val="1"/>
                <w:color w:val="auto"/>
              </w:rPr>
            </w:pPr>
          </w:p>
        </w:tc>
      </w:tr>
      <w:tr>
        <w:trPr>
          <w:trHeight w:val="79"/>
        </w:trPr>
        <w:tc>
          <w:tcPr>
            <w:tcW w:w="25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of June 29, 2024</w:t>
            </w: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0" w:type="dxa"/>
            <w:vAlign w:val="bottom"/>
            <w:gridSpan w:val="3"/>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1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85"/>
        </w:trPr>
        <w:tc>
          <w:tcPr>
            <w:tcW w:w="2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6/15/2023</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103,600</w:t>
            </w:r>
          </w:p>
        </w:tc>
        <w:tc>
          <w:tcPr>
            <w:tcW w:w="12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6/15/2023</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6/15/2025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219,800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29, 2024, the Company recorded a gain of $0.4 million, net of tax, in accumulated other comprehensive loss to recognize the effective portion of the fair value of the swaps that qualify as cash flow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5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 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The Company has not experienced significant customer payment defaults, or identified other significant collectability concerns.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6"/>
                <w:szCs w:val="16"/>
                <w:color w:val="auto"/>
              </w:rPr>
            </w:pPr>
          </w:p>
        </w:tc>
        <w:tc>
          <w:tcPr>
            <w:tcW w:w="13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229"/>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25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6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three months ended June 29,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9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1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Accumulated Other</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 into</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Testing</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4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88"/>
        </w:trPr>
        <w:tc>
          <w:tcPr>
            <w:tcW w:w="26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Designated foreign currency hedge</w:t>
            </w: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rPr>
              <w:t>Net revenues, COGS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contracts, net of tax</w:t>
            </w:r>
          </w:p>
        </w:tc>
        <w:tc>
          <w:tcPr>
            <w:tcW w:w="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SG&amp;A</w:t>
            </w: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180"/>
        </w:trPr>
        <w:tc>
          <w:tcPr>
            <w:tcW w:w="26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Non-designated foreign currency</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hedge contracts</w:t>
            </w:r>
          </w:p>
        </w:tc>
        <w:tc>
          <w:tcPr>
            <w:tcW w:w="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180"/>
        </w:trPr>
        <w:tc>
          <w:tcPr>
            <w:tcW w:w="26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Designated interest rate swaps, net</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Interest and other</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(expense), net</w:t>
            </w: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709803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09803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17"/>
          <w:szCs w:val="17"/>
          <w:color w:val="auto"/>
        </w:rPr>
        <w:t>Interest and other income (expense), net</w:t>
      </w:r>
    </w:p>
    <w:p>
      <w:pPr>
        <w:spacing w:after="0" w:line="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7"/>
          <w:szCs w:val="17"/>
          <w:color w:val="auto"/>
        </w:rPr>
        <w:t>Interest and other income (expense), net</w:t>
      </w:r>
    </w:p>
    <w:p>
      <w:pPr>
        <w:spacing w:after="0" w:line="613" w:lineRule="exact"/>
        <w:rPr>
          <w:sz w:val="20"/>
          <w:szCs w:val="20"/>
          <w:color w:val="auto"/>
        </w:rPr>
      </w:pPr>
    </w:p>
    <w:p>
      <w:pPr>
        <w:sectPr>
          <w:pgSz w:w="11900" w:h="16838" w:orient="portrait"/>
          <w:cols w:equalWidth="0" w:num="2">
            <w:col w:w="9200" w:space="200"/>
            <w:col w:w="1840"/>
          </w:cols>
          <w:pgMar w:left="320" w:top="121" w:right="339" w:bottom="1440" w:gutter="0" w:footer="0" w:header="0"/>
          <w:type w:val="continuous"/>
        </w:sectPr>
      </w:pP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June 29, 2024 or March 30, 2024. As of June 29, 2024, no material deferred taxes were recognized for designated foreign currency hedges.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29, 2024,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derivative instruments as they appear in its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2024 and March 30, 2024: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320" w:type="dxa"/>
            <w:vAlign w:val="bottom"/>
          </w:tcPr>
          <w:p>
            <w:pPr>
              <w:spacing w:after="0"/>
              <w:rPr>
                <w:sz w:val="13"/>
                <w:szCs w:val="13"/>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3"/>
                <w:szCs w:val="13"/>
                <w:color w:val="auto"/>
              </w:rPr>
            </w:pP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320" w:type="dxa"/>
            <w:vAlign w:val="bottom"/>
          </w:tcPr>
          <w:p>
            <w:pPr>
              <w:spacing w:after="0"/>
              <w:rPr>
                <w:sz w:val="16"/>
                <w:szCs w:val="16"/>
                <w:color w:val="auto"/>
              </w:rPr>
            </w:pPr>
          </w:p>
        </w:tc>
        <w:tc>
          <w:tcPr>
            <w:tcW w:w="16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6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vMerge w:val="restart"/>
          </w:tcPr>
          <w:p>
            <w:pPr>
              <w:ind w:left="9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June 29, 2024 and March 30,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June 29, 2024</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195,279</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195,279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198,832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25,598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30, 2024</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46,315</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measurements of contingent consideration liabilities include the following significant unobservable inputs: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21"/>
                <w:szCs w:val="21"/>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6.3%</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Model</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Projected year of payments</w:t>
            </w:r>
          </w:p>
        </w:tc>
        <w:tc>
          <w:tcPr>
            <w:tcW w:w="100" w:type="dxa"/>
            <w:vAlign w:val="bottom"/>
            <w:vMerge w:val="restart"/>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2025 - 2027</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w:t>
            </w:r>
          </w:p>
        </w:tc>
        <w:tc>
          <w:tcPr>
            <w:tcW w:w="0" w:type="dxa"/>
            <w:vAlign w:val="bottom"/>
          </w:tcPr>
          <w:p>
            <w:pPr>
              <w:spacing w:after="0"/>
              <w:rPr>
                <w:sz w:val="1"/>
                <w:szCs w:val="1"/>
                <w:color w:val="auto"/>
              </w:rPr>
            </w:pPr>
          </w:p>
        </w:tc>
      </w:tr>
      <w:tr>
        <w:trPr>
          <w:trHeight w:val="108"/>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Regulatory-based payment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4,600</w:t>
            </w:r>
          </w:p>
        </w:tc>
        <w:tc>
          <w:tcPr>
            <w:tcW w:w="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Model</w:t>
            </w:r>
          </w:p>
        </w:tc>
        <w:tc>
          <w:tcPr>
            <w:tcW w:w="2640" w:type="dxa"/>
            <w:vAlign w:val="bottom"/>
            <w:gridSpan w:val="2"/>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gridSpan w:val="2"/>
            <w:vMerge w:val="continue"/>
          </w:tcPr>
          <w:p>
            <w:pPr>
              <w:spacing w:after="0"/>
              <w:rPr>
                <w:sz w:val="6"/>
                <w:szCs w:val="6"/>
                <w:color w:val="auto"/>
              </w:rPr>
            </w:pPr>
          </w:p>
        </w:tc>
        <w:tc>
          <w:tcPr>
            <w:tcW w:w="2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00" w:type="dxa"/>
            <w:vAlign w:val="bottom"/>
            <w:vMerge w:val="restart"/>
            <w:shd w:val="clear" w:color="auto" w:fill="CCEEFF"/>
          </w:tcPr>
          <w:p>
            <w:pPr>
              <w:spacing w:after="0"/>
              <w:rPr>
                <w:sz w:val="6"/>
                <w:szCs w:val="6"/>
                <w:color w:val="auto"/>
              </w:rPr>
            </w:pPr>
          </w:p>
        </w:tc>
        <w:tc>
          <w:tcPr>
            <w:tcW w:w="1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2026 - 2028</w:t>
            </w: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Event-based payment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5.8%</w:t>
            </w:r>
          </w:p>
        </w:tc>
        <w:tc>
          <w:tcPr>
            <w:tcW w:w="0" w:type="dxa"/>
            <w:vAlign w:val="bottom"/>
          </w:tcPr>
          <w:p>
            <w:pPr>
              <w:spacing w:after="0"/>
              <w:rPr>
                <w:sz w:val="1"/>
                <w:szCs w:val="1"/>
                <w:color w:val="auto"/>
              </w:rPr>
            </w:pPr>
          </w:p>
        </w:tc>
      </w:tr>
      <w:tr>
        <w:trPr>
          <w:trHeight w:val="27"/>
        </w:trPr>
        <w:tc>
          <w:tcPr>
            <w:tcW w:w="2640" w:type="dxa"/>
            <w:vAlign w:val="bottom"/>
            <w:gridSpan w:val="2"/>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Model</w:t>
            </w: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64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2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00" w:type="dxa"/>
            <w:vAlign w:val="bottom"/>
            <w:vMerge w:val="restart"/>
            <w:shd w:val="clear" w:color="auto" w:fill="CCEEFF"/>
          </w:tcPr>
          <w:p>
            <w:pPr>
              <w:spacing w:after="0"/>
              <w:rPr>
                <w:sz w:val="10"/>
                <w:szCs w:val="10"/>
                <w:color w:val="auto"/>
              </w:rPr>
            </w:pPr>
          </w:p>
        </w:tc>
        <w:tc>
          <w:tcPr>
            <w:tcW w:w="1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54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contingent consideration associated with the Attune Medical acquisition was $25.0 million at June 29, 2024. As of June 29, 2024,</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$5.9 million was included in other current liabilities and $19.1 million was included in other long-term liabilities on the Condensed Consolidated Balance Sheets. The Company has deemed the change in fair value of the contingent consideration liability to be immaterial during the first quarter of fiscal 2025 and therefore did not record any adjustments.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fair value of contingent consideration is included in the following table: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date fair value of contingent consideration</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fair values of the 2026 Notes and 2029 Notes were $271.9 million and $688.0 million as of June 29, 2024, respectively, which were determined by using the market price on the last trading day of the reporting period and are considered as level 2 in the fair value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unsecured term loan (which is carried at amortized cost), accounts receivable and accounts payable approximate fair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the fourth quarter of fiscal 2021, a putative class action complaint was filed against the Company in the Circuit Court of Cook County, Illinois by Mary Crumpton, on behalf of herself and similarly situated individuals. The Company removed the case to the United States District Court for the Northern District Illinois. See </w:t>
      </w:r>
      <w:r>
        <w:rPr>
          <w:rFonts w:ascii="Times New Roman" w:cs="Times New Roman" w:eastAsia="Times New Roman" w:hAnsi="Times New Roman"/>
          <w:sz w:val="18"/>
          <w:szCs w:val="18"/>
          <w:i w:val="1"/>
          <w:iCs w:val="1"/>
          <w:color w:val="auto"/>
        </w:rPr>
        <w:t>Mary Crumpton v. Haemonetics Corporation, Case No. 1:21-cv-1402</w:t>
      </w:r>
      <w:r>
        <w:rPr>
          <w:rFonts w:ascii="Times New Roman" w:cs="Times New Roman" w:eastAsia="Times New Roman" w:hAnsi="Times New Roman"/>
          <w:sz w:val="18"/>
          <w:szCs w:val="18"/>
          <w:color w:val="auto"/>
        </w:rPr>
        <w:t>. In her complaint, the plaintiff asserts that between June 2017 and August 2018 she donated plasma at a center operated by one of the Company’s customers, that the center required her to scan her fingerprint on a finger scanner that stored her fingerprint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March 2022, the court denied the Company’s motion to dismiss for lack of personal jurisdiction but did not address the merits of the Company’s other positions. In March 2023, the Company filed a second motion to dismiss the complaint, which is pending before the court. During the second quarter of fiscal 2024, the Company entered into a Memorandum of Understanding providing terms that would resolve the litigation and recorded an additional loss contingency related to this matter. In the third quarter of fiscal 2024, the parties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requested preliminary court approval of a final settlement agreement, which was granted in February 2024, and the Company recorded an immaterial additional loss contingency related to settlement administration, resulting in an accrual of $8.7 million within Other current liabilities in its consolidated balance sheets. In March 2024, notice of the settlement was mailed to class members and the parties are now awaiting the complete administration of the settlement through the third-party administrator. In the first quarter of fiscal 2025, the Company issued payment of the $8.7 million settlement amount following the court's final approval of the settlement agreement and dismissal of the matter with prejudice.</w:t>
      </w:r>
    </w:p>
    <w:p>
      <w:pPr>
        <w:spacing w:after="0" w:line="19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During the fourth quarter of fiscal 2024, a complaint was filed in the U.S. District Court for the District of Delaware by Knoninklijke Philips N.V. and IP2IPO Innovations, Ltd. (together, the “Plaintiffs”) against OpSens, OpSens Medical, Inc., a wholly-owned subsidiary of OpSens, and Haemonetics (1:24-cv-00206-CFC). The complaint alleges, inter alia, that OpSens’ interventional cardiology systems, including its OptoWire and OptoMonitor technology, infringe a single patent held by the Plaintiffs and seeks both injunctive relief and damages. The Company believes it has valid and meritorious defenses to the complaint and plans to vigorously defend against the complaint. During the first quarter of fiscal 2025, the Company recorded a loss contingency related to this matter, which did not have a material impact on its Condensed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Recall</w:t>
      </w:r>
    </w:p>
    <w:p>
      <w:pPr>
        <w:spacing w:after="0" w:line="25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August 2023, the Company issued a voluntary recall of certain products within the Whole Blood portion of our Blood Center business unit sold to customers in the U.S. and certain foreign jurisdictions. In fiscal 2024, the Company recorded cumulative charges of $6.8 million related to inventory, returns and customer claims associated with this recall. Substantially all outstanding claims have been paid as of June 29,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2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6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on Derivatives</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30, 2024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(38,274)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(35,632)</w:t>
            </w:r>
          </w:p>
        </w:tc>
        <w:tc>
          <w:tcPr>
            <w:tcW w:w="0" w:type="dxa"/>
            <w:vAlign w:val="bottom"/>
          </w:tcPr>
          <w:p>
            <w:pPr>
              <w:spacing w:after="0"/>
              <w:rPr>
                <w:sz w:val="1"/>
                <w:szCs w:val="1"/>
                <w:color w:val="auto"/>
              </w:rPr>
            </w:pPr>
          </w:p>
        </w:tc>
      </w:tr>
      <w:tr>
        <w:trPr>
          <w:trHeight w:val="155"/>
        </w:trPr>
        <w:tc>
          <w:tcPr>
            <w:tcW w:w="45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0" w:type="dxa"/>
            <w:vAlign w:val="bottom"/>
          </w:tcPr>
          <w:p>
            <w:pPr>
              <w:spacing w:after="0"/>
              <w:rPr>
                <w:sz w:val="1"/>
                <w:szCs w:val="1"/>
                <w:color w:val="auto"/>
              </w:rPr>
            </w:pPr>
          </w:p>
        </w:tc>
      </w:tr>
      <w:tr>
        <w:trPr>
          <w:trHeight w:val="175"/>
        </w:trPr>
        <w:tc>
          <w:tcPr>
            <w:tcW w:w="4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loss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29,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(42,667)</w:t>
            </w:r>
          </w:p>
        </w:tc>
        <w:tc>
          <w:tcPr>
            <w:tcW w:w="0" w:type="dxa"/>
            <w:vAlign w:val="bottom"/>
          </w:tcPr>
          <w:p>
            <w:pPr>
              <w:spacing w:after="0"/>
              <w:rPr>
                <w:sz w:val="1"/>
                <w:szCs w:val="1"/>
                <w:color w:val="auto"/>
              </w:rPr>
            </w:pPr>
          </w:p>
        </w:tc>
      </w:tr>
    </w:tbl>
    <w:p>
      <w:pPr>
        <w:ind w:left="220" w:hanging="160"/>
        <w:spacing w:after="0" w:line="233" w:lineRule="auto"/>
        <w:tabs>
          <w:tab w:leader="none" w:pos="22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-123825</wp:posOffset>
            </wp:positionV>
            <wp:extent cx="42259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ENTERPRISE-WIDE INFORMATION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and operating segments are as follows:</w:t>
      </w:r>
    </w:p>
    <w:p>
      <w:pPr>
        <w:spacing w:after="0" w:line="14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3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Although these amounts are excluded from segment operating income, as applicable, they are included in the reconciliations that follow. Management measures and evaluates the Company’s net revenues and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operating income using internally derived standard currency exchange rates that remain constant from year to year; therefore, segment information is presented on this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1"/>
                <w:szCs w:val="11"/>
                <w:color w:val="auto"/>
              </w:rPr>
            </w:pPr>
          </w:p>
        </w:tc>
        <w:tc>
          <w:tcPr>
            <w:tcW w:w="13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40" w:type="dxa"/>
            <w:vAlign w:val="bottom"/>
          </w:tcPr>
          <w:p>
            <w:pPr>
              <w:spacing w:after="0"/>
              <w:rPr>
                <w:sz w:val="11"/>
                <w:szCs w:val="11"/>
                <w:color w:val="auto"/>
              </w:rPr>
            </w:pPr>
          </w:p>
        </w:tc>
        <w:tc>
          <w:tcPr>
            <w:tcW w:w="1240" w:type="dxa"/>
            <w:vAlign w:val="bottom"/>
          </w:tcPr>
          <w:p>
            <w:pPr>
              <w:jc w:val="right"/>
              <w:ind w:right="495"/>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5"/>
        </w:trPr>
        <w:tc>
          <w:tcPr>
            <w:tcW w:w="79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792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69,169</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in constant currency</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311,088</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336,172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311,332</w:t>
            </w:r>
          </w:p>
        </w:tc>
        <w:tc>
          <w:tcPr>
            <w:tcW w:w="0" w:type="dxa"/>
            <w:vAlign w:val="bottom"/>
          </w:tcPr>
          <w:p>
            <w:pPr>
              <w:spacing w:after="0"/>
              <w:rPr>
                <w:sz w:val="1"/>
                <w:szCs w:val="1"/>
                <w:color w:val="auto"/>
              </w:rPr>
            </w:pPr>
          </w:p>
        </w:tc>
      </w:tr>
    </w:tbl>
    <w:p>
      <w:pPr>
        <w:ind w:left="200" w:hanging="161"/>
        <w:spacing w:after="0" w:line="219" w:lineRule="auto"/>
        <w:tabs>
          <w:tab w:leader="none" w:pos="2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in fiscal 2025, the Company integrated service revenue within its three business units. Prior periods were conformed to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-123825</wp:posOffset>
            </wp:positionV>
            <wp:extent cx="2091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1"/>
                <w:szCs w:val="11"/>
                <w:color w:val="auto"/>
              </w:rPr>
            </w:pPr>
          </w:p>
        </w:tc>
        <w:tc>
          <w:tcPr>
            <w:tcW w:w="138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40" w:type="dxa"/>
            <w:vAlign w:val="bottom"/>
          </w:tcPr>
          <w:p>
            <w:pPr>
              <w:spacing w:after="0"/>
              <w:rPr>
                <w:sz w:val="11"/>
                <w:szCs w:val="11"/>
                <w:color w:val="auto"/>
              </w:rPr>
            </w:pPr>
          </w:p>
        </w:tc>
        <w:tc>
          <w:tcPr>
            <w:tcW w:w="1240" w:type="dxa"/>
            <w:vAlign w:val="bottom"/>
          </w:tcPr>
          <w:p>
            <w:pPr>
              <w:jc w:val="right"/>
              <w:ind w:right="492"/>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142,924</w:t>
            </w: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fair value inventory step-up</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Integration and transaction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transformation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assets and PCS2 related charges</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MDR and IVDR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Litigation-related charges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39,756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53,659</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right="360" w:hanging="1"/>
        <w:spacing w:after="0" w:line="210" w:lineRule="auto"/>
        <w:tabs>
          <w:tab w:leader="none" w:pos="20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-226695</wp:posOffset>
            </wp:positionV>
            <wp:extent cx="2091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business unit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1"/>
                <w:szCs w:val="11"/>
                <w:color w:val="auto"/>
              </w:rPr>
            </w:pPr>
          </w:p>
        </w:tc>
        <w:tc>
          <w:tcPr>
            <w:tcW w:w="136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60" w:type="dxa"/>
            <w:vAlign w:val="bottom"/>
          </w:tcPr>
          <w:p>
            <w:pPr>
              <w:spacing w:after="0"/>
              <w:rPr>
                <w:sz w:val="11"/>
                <w:szCs w:val="11"/>
                <w:color w:val="auto"/>
              </w:rPr>
            </w:pPr>
          </w:p>
        </w:tc>
        <w:tc>
          <w:tcPr>
            <w:tcW w:w="1240" w:type="dxa"/>
            <w:vAlign w:val="bottom"/>
          </w:tcPr>
          <w:p>
            <w:pPr>
              <w:jc w:val="right"/>
              <w:ind w:right="514"/>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5"/>
        </w:trPr>
        <w:tc>
          <w:tcPr>
            <w:tcW w:w="79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139,621</w:t>
            </w:r>
          </w:p>
        </w:tc>
        <w:tc>
          <w:tcPr>
            <w:tcW w:w="0" w:type="dxa"/>
            <w:vAlign w:val="bottom"/>
          </w:tcPr>
          <w:p>
            <w:pPr>
              <w:spacing w:after="0"/>
              <w:rPr>
                <w:sz w:val="1"/>
                <w:szCs w:val="1"/>
                <w:color w:val="auto"/>
              </w:rPr>
            </w:pPr>
          </w:p>
        </w:tc>
      </w:tr>
      <w:tr>
        <w:trPr>
          <w:trHeight w:val="148"/>
        </w:trPr>
        <w:tc>
          <w:tcPr>
            <w:tcW w:w="7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Apheresis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Whole Blood</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69,206</w:t>
            </w: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64,885</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102,505</w:t>
            </w:r>
          </w:p>
        </w:tc>
        <w:tc>
          <w:tcPr>
            <w:tcW w:w="0" w:type="dxa"/>
            <w:vAlign w:val="bottom"/>
          </w:tcPr>
          <w:p>
            <w:pPr>
              <w:spacing w:after="0"/>
              <w:rPr>
                <w:sz w:val="1"/>
                <w:szCs w:val="1"/>
                <w:color w:val="auto"/>
              </w:rPr>
            </w:pPr>
          </w:p>
        </w:tc>
      </w:tr>
      <w:tr>
        <w:trPr>
          <w:trHeight w:val="148"/>
        </w:trPr>
        <w:tc>
          <w:tcPr>
            <w:tcW w:w="79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336,172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311,332</w:t>
            </w:r>
          </w:p>
        </w:tc>
        <w:tc>
          <w:tcPr>
            <w:tcW w:w="0" w:type="dxa"/>
            <w:vAlign w:val="bottom"/>
          </w:tcPr>
          <w:p>
            <w:pPr>
              <w:spacing w:after="0"/>
              <w:rPr>
                <w:sz w:val="1"/>
                <w:szCs w:val="1"/>
                <w:color w:val="auto"/>
              </w:rPr>
            </w:pPr>
          </w:p>
        </w:tc>
      </w:tr>
    </w:tbl>
    <w:p>
      <w:pPr>
        <w:ind w:left="180" w:hanging="154"/>
        <w:spacing w:after="0" w:line="230"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Interventional Technologies includes Vascular Closure, Sensor Guided Technologies and Esophageal Protection product lines of the Hospital business unit.</w:t>
      </w:r>
    </w:p>
    <w:p>
      <w:pPr>
        <w:spacing w:after="0" w:line="24"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Blood Management Technologies includes Hemostasis Management, Cell Salvage and Transfusion Management product lines of the Hospital business unit.</w:t>
      </w:r>
    </w:p>
    <w:p>
      <w:pPr>
        <w:spacing w:after="0" w:line="23"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Beginning in fiscal 2025, the Company integrated service revenue within its three business units. Prior periods were conformed to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-398145</wp:posOffset>
            </wp:positionV>
            <wp:extent cx="2091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generated in the Company’s principle operating regions on a reported basis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1"/>
                <w:szCs w:val="11"/>
                <w:color w:val="auto"/>
              </w:rPr>
            </w:pPr>
          </w:p>
        </w:tc>
        <w:tc>
          <w:tcPr>
            <w:tcW w:w="136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60" w:type="dxa"/>
            <w:vAlign w:val="bottom"/>
          </w:tcPr>
          <w:p>
            <w:pPr>
              <w:spacing w:after="0"/>
              <w:rPr>
                <w:sz w:val="11"/>
                <w:szCs w:val="11"/>
                <w:color w:val="auto"/>
              </w:rPr>
            </w:pPr>
          </w:p>
        </w:tc>
        <w:tc>
          <w:tcPr>
            <w:tcW w:w="1240" w:type="dxa"/>
            <w:vAlign w:val="bottom"/>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311,332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30, 2024. The following discussion may contain forward-looking statements and should be read in conjunction with the “Cautionary Statement Regarding Forward-Looking Information” in this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technology solutions that improve the quality, effectiveness and efficiency of care. We challenge ourselves to think big and make new possibilities a reality, so that our customers can make it matter for patients, every single day. Our technology addresses important medical markets: blood and plasma component collection, the surgical suite and hospital transfusion services.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red cells, platelets and whole blood. “Hospital” is comprised of Interventional Technologies, which includes Vascular Closure, Sensor Guided Technologies and Esophageal Protection products, and Blood Management Technologies, which includes Hemostasis Management, Cell Salvage and Transfusion Management products.</w:t>
      </w:r>
    </w:p>
    <w:p>
      <w:pPr>
        <w:spacing w:after="0" w:line="210"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Convertible Senior Notes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28, 2024, we issued $700.0 million aggregate principal amount of 2.5% convertible senior notes due 2029 (the “2029 Notes”). The 2029 Notes are governed by the terms of the Indenture between the Company and U.S. Bank National Association, as trustee. The total net proceeds from the sale of the 2029 Notes, after deducting the initial purchasers’ discounts and debt issuance costs, were $682.8 million, of which $230.0 million was used to repay the entirety of the balance on the revolving credit facility under the Company’s current credit agreement, $185.5 million was used to repurchase a portion of our existing 0% convertible senior notes due 2026 and $88.2 million was used to complete capped call transactions, with the remaining proceeds available for working capital and other general purposes. The 2029 Notes will mature on June 1, 2029, unless earlier converted, redeemed or repurchased.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Repayment</w:t>
      </w:r>
    </w:p>
    <w:p>
      <w:pPr>
        <w:spacing w:after="0" w:line="25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 April 30, 2024, we entered into a second amended and restated credit agreement with certain lenders to refinance our prior credit facilities and extend their maturity date through April 2029. The second amended and restated credit agreement provides for a $250.0 million senior unsecured term loan, the proceeds of which, along with $12.5 million of cash on hand, have been used to retire the balance of the term loan under our prior credit facilities, and a $750.0 million senior unsecured revolving credit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Attune Medical</w:t>
      </w:r>
    </w:p>
    <w:p>
      <w:pPr>
        <w:spacing w:after="0" w:line="25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 March 5, 2024, the Company entered into a definitive agreement to acquire Advanced Cooling Therapy, Inc., d/b/a Attune Medical (“Attune Medical”), the manufacturer of the ensoETM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proactive esophageal cooling device, pursuant to which, among other things, the Company agreed to acquire all of the issued and outstanding common shares of Attune Medical. On April 1, 2024, the Company completed its acquisition of Attune Medical for total consideration of $186.2 million, which included an upfront cash payment of $160.7 million, or $149.2 million net of cash acquired, the fair value of contingent consideration of $25.0 million, and $0.5 million of estimated working capital adjustments. The Company’s purchase price is subject to customary working capital and certain other adjustments as of the closing of the transaction and additional contingent consideration based on sales growth over the next three years, which is uncapped, and the achievement of certain other</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milestones. The Company financed the acquisition through a combination of cash on hand and borrowings under its senior unsecured revolving credit facility.</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OpSens Inc.</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its senior unsecured revolving credit facility.</w:t>
      </w:r>
    </w:p>
    <w:p>
      <w:pPr>
        <w:spacing w:after="0" w:line="21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sensor-guided 3-in-1 guidewire for TAVR procedures, advancing the workflow of the procedure and enabling potentially shorter hospital stays for patients; and the OptoWire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Pr>
          <w:p>
            <w:pPr>
              <w:spacing w:after="0"/>
              <w:rPr>
                <w:sz w:val="11"/>
                <w:szCs w:val="11"/>
                <w:color w:val="auto"/>
              </w:rPr>
            </w:pPr>
          </w:p>
        </w:tc>
        <w:tc>
          <w:tcPr>
            <w:tcW w:w="14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1"/>
                <w:szCs w:val="11"/>
                <w:color w:val="auto"/>
              </w:rPr>
            </w:pPr>
          </w:p>
        </w:tc>
        <w:tc>
          <w:tcPr>
            <w:tcW w:w="1700" w:type="dxa"/>
            <w:vAlign w:val="bottom"/>
            <w:gridSpan w:val="2"/>
          </w:tcPr>
          <w:p>
            <w:pPr>
              <w:ind w:left="540"/>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336,172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311,332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8.0 %</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174,924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167,265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4.6 %</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135,168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113,606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19.0 %</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39,756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53,659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(25.9)%</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46,713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51,590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(20.9)%</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38,373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41,042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13.2 %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w:t>
            </w:r>
          </w:p>
        </w:tc>
        <w:tc>
          <w:tcPr>
            <w:tcW w:w="0" w:type="dxa"/>
            <w:vAlign w:val="bottom"/>
          </w:tcPr>
          <w:p>
            <w:pPr>
              <w:spacing w:after="0"/>
              <w:rPr>
                <w:sz w:val="1"/>
                <w:szCs w:val="1"/>
                <w:color w:val="auto"/>
              </w:rPr>
            </w:pPr>
          </w:p>
        </w:tc>
      </w:tr>
      <w:tr>
        <w:trPr>
          <w:trHeight w:val="23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revenues increased 8.0% during the three months ended June 29, 2024 as compared with the same period of fiscal 2024. Without the effects of foreign exchange, net revenues increased 8.7% during the three months ended June 29, 2024, as compared with the same period of fiscal 2024. Revenue increases in our Hospital businesses, primarily related to recent acquisitions as well as volume and price benefits, drove the overall increase in revenue during the three months ended June 29, 2024.</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income decreased 25.9% during the three months ended June 29, 2024 as compared with the same period of fiscal 2024. The decrease during the three months ended June 29, 2024 was primarily due to transaction and integration costs related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 recent acquisitions, continuous growth investments, increased amortization of acquired intangible assets and increased freight costs, partially offset by operating leverage.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1"/>
                <w:szCs w:val="11"/>
                <w:color w:val="auto"/>
              </w:rPr>
            </w:pPr>
          </w:p>
        </w:tc>
        <w:tc>
          <w:tcPr>
            <w:tcW w:w="11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60" w:type="dxa"/>
            <w:vAlign w:val="bottom"/>
          </w:tcPr>
          <w:p>
            <w:pPr>
              <w:spacing w:after="0"/>
              <w:rPr>
                <w:sz w:val="11"/>
                <w:szCs w:val="11"/>
                <w:color w:val="auto"/>
              </w:rPr>
            </w:pPr>
          </w:p>
        </w:tc>
        <w:tc>
          <w:tcPr>
            <w:tcW w:w="1000" w:type="dxa"/>
            <w:vAlign w:val="bottom"/>
          </w:tcPr>
          <w:p>
            <w:pPr>
              <w:jc w:val="right"/>
              <w:ind w:right="337"/>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7"/>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237,073</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21"/>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220" w:firstLine="6"/>
        <w:spacing w:after="0"/>
        <w:tabs>
          <w:tab w:leader="none" w:pos="15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2"/>
          <w:szCs w:val="12"/>
          <w:i w:val="1"/>
          <w:iCs w:val="1"/>
          <w:color w:val="auto"/>
        </w:rPr>
        <w:t>Management’s Use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Non-GAAP Measures.</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 During the three months ended June 29, 2024 our revenue generated outside the U.S. was 26.0% of total net revenues, as compared with 23.9% during the three months ended July 1, 2023. 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1"/>
                <w:szCs w:val="11"/>
                <w:color w:val="auto"/>
              </w:rPr>
            </w:pPr>
          </w:p>
        </w:tc>
        <w:tc>
          <w:tcPr>
            <w:tcW w:w="11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80" w:type="dxa"/>
            <w:vAlign w:val="bottom"/>
          </w:tcPr>
          <w:p>
            <w:pPr>
              <w:spacing w:after="0"/>
              <w:rPr>
                <w:sz w:val="11"/>
                <w:szCs w:val="11"/>
                <w:color w:val="auto"/>
              </w:rPr>
            </w:pPr>
          </w:p>
        </w:tc>
        <w:tc>
          <w:tcPr>
            <w:tcW w:w="1000" w:type="dxa"/>
            <w:vAlign w:val="bottom"/>
          </w:tcPr>
          <w:p>
            <w:pPr>
              <w:jc w:val="right"/>
              <w:ind w:right="354"/>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gridSpan w:val="2"/>
          </w:tcPr>
          <w:p>
            <w:pPr>
              <w:jc w:val="right"/>
              <w:ind w:right="50"/>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20" w:type="dxa"/>
            <w:vAlign w:val="bottom"/>
          </w:tcPr>
          <w:p>
            <w:pPr>
              <w:jc w:val="right"/>
              <w:ind w:right="134"/>
              <w:spacing w:after="0" w:line="202"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139,621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3"/>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69,206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64,885</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102,505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0" w:type="dxa"/>
            <w:vAlign w:val="bottom"/>
          </w:tcPr>
          <w:p>
            <w:pPr>
              <w:spacing w:after="0"/>
              <w:rPr>
                <w:sz w:val="1"/>
                <w:szCs w:val="1"/>
                <w:color w:val="auto"/>
              </w:rPr>
            </w:pPr>
          </w:p>
        </w:tc>
      </w:tr>
      <w:tr>
        <w:trPr>
          <w:trHeight w:val="148"/>
        </w:trPr>
        <w:tc>
          <w:tcPr>
            <w:tcW w:w="3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Net revenues</w:t>
            </w:r>
            <w:r>
              <w:rPr>
                <w:rFonts w:ascii="Times New Roman" w:cs="Times New Roman" w:eastAsia="Times New Roman" w:hAnsi="Times New Roman"/>
                <w:sz w:val="22"/>
                <w:szCs w:val="22"/>
                <w:b w:val="1"/>
                <w:bCs w:val="1"/>
                <w:color w:val="auto"/>
                <w:vertAlign w:val="superscript"/>
              </w:rPr>
              <w:t>(4)</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336,172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311,332</w:t>
            </w:r>
          </w:p>
        </w:tc>
        <w:tc>
          <w:tcPr>
            <w:tcW w:w="15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8.0 %</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8.7 %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0" w:right="200" w:firstLine="6"/>
        <w:spacing w:after="0"/>
        <w:tabs>
          <w:tab w:leader="none" w:pos="152"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2"/>
          <w:szCs w:val="12"/>
          <w:i w:val="1"/>
          <w:iCs w:val="1"/>
          <w:color w:val="auto"/>
        </w:rPr>
        <w:t>Management’s Use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Non-GAAP Measures.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6"/>
          <w:szCs w:val="16"/>
          <w:color w:val="auto"/>
          <w:vertAlign w:val="superscript"/>
        </w:rPr>
      </w:pPr>
    </w:p>
    <w:p>
      <w:pPr>
        <w:ind w:left="160" w:hanging="134"/>
        <w:spacing w:after="0" w:line="232" w:lineRule="auto"/>
        <w:tabs>
          <w:tab w:leader="none" w:pos="16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Interventional Technologies includes Vascular Closure, Sensor Guided Technologies and Esophageal Protection product lines of the Hospital business unit.</w:t>
      </w:r>
    </w:p>
    <w:p>
      <w:pPr>
        <w:spacing w:after="0" w:line="30" w:lineRule="exact"/>
        <w:rPr>
          <w:rFonts w:ascii="Times New Roman" w:cs="Times New Roman" w:eastAsia="Times New Roman" w:hAnsi="Times New Roman"/>
          <w:sz w:val="17"/>
          <w:szCs w:val="17"/>
          <w:color w:val="auto"/>
          <w:vertAlign w:val="superscript"/>
        </w:rPr>
      </w:pPr>
    </w:p>
    <w:p>
      <w:pPr>
        <w:ind w:left="160" w:hanging="134"/>
        <w:spacing w:after="0" w:line="211" w:lineRule="auto"/>
        <w:tabs>
          <w:tab w:leader="none" w:pos="16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Blood Management Technologies includes Hemostasis Management, Cell Salvage and Transfusion Management product lines of the Hospital business unit.</w:t>
      </w:r>
    </w:p>
    <w:p>
      <w:pPr>
        <w:spacing w:after="0" w:line="30" w:lineRule="exact"/>
        <w:rPr>
          <w:rFonts w:ascii="Times New Roman" w:cs="Times New Roman" w:eastAsia="Times New Roman" w:hAnsi="Times New Roman"/>
          <w:sz w:val="17"/>
          <w:szCs w:val="17"/>
          <w:color w:val="auto"/>
          <w:vertAlign w:val="superscript"/>
        </w:rPr>
      </w:pPr>
    </w:p>
    <w:p>
      <w:pPr>
        <w:ind w:left="180" w:hanging="154"/>
        <w:spacing w:after="0" w:line="189" w:lineRule="auto"/>
        <w:tabs>
          <w:tab w:leader="none" w:pos="1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Beginning in fiscal 2025, the Company integrated service revenue within its three business units. Prior periods were conformed to current presentation.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25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Plasma revenue decreased 2.7% during the three months ended June 29, 2024 as compared with the same period of fiscal 2024. Without the effects of foreign exchange, Plasma revenue decreased 2.6% during the three months ended June 29, 2024 as compared with the same period of fiscal 2024. The decrease during the three months ended June 29, 2024 was primarily driven by lower sales volumes in North America relating to a previously announced customer transition and a temporary plasma center outage at one of our customers.</w:t>
      </w:r>
    </w:p>
    <w:p>
      <w:pPr>
        <w:spacing w:after="0" w:line="19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During the third quarter of fiscal 2022, we amended our supply agreement with CSL, which CSL had previously notified us of its intent not to renew and was initially set to expire in June 2022, to allow CSL to continue to use our PCS2 plasma collection system devices and purchase disposable plasmapheresis kits on a non-exclusive basis through December 2023. During the third quarter of fiscal 2023, we further amended our supply agreement with CSL to extend the term through December 2025. CSL has a minimum purchase commitment under the non-exclusive supply agreement of approximately $85 million in fiscal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2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Blood Center revenue decreased 4.3% during the three months ended June 29, 2024 as compared with the same period of fiscal 2024. Without the effects of foreign exchange, Blood Center revenue decreased 2.1% during the three months ended June 29, 2024 as compared with the same period of fiscal 2024. The decrease during the three months ended June 29, 2024 was primarily driven by declines in our Whole Blood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24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Hospital revenue increased 30.7% during the three months ended June 29, 2024 as compared with the same period of fiscal 2024. Without the effects of foreign exchange, Hospital revenue increased 31.3% during the three months ended June 29, 2024 as compared with the same period of fiscal 2024. The increase during the three months ended June 29, 2024 was primarily attributable to the product lines within the Interventional Technologies franchise with benefits from Sensor Guided Technologies and Esophageal Protection that were recently acquired, as well as growth in Vascular Closure.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1"/>
                <w:szCs w:val="11"/>
                <w:color w:val="auto"/>
              </w:rPr>
            </w:pPr>
          </w:p>
        </w:tc>
        <w:tc>
          <w:tcPr>
            <w:tcW w:w="14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1"/>
                <w:szCs w:val="11"/>
                <w:color w:val="auto"/>
              </w:rPr>
            </w:pPr>
          </w:p>
        </w:tc>
        <w:tc>
          <w:tcPr>
            <w:tcW w:w="1700" w:type="dxa"/>
            <w:vAlign w:val="bottom"/>
            <w:gridSpan w:val="2"/>
          </w:tcPr>
          <w:p>
            <w:pPr>
              <w:ind w:left="540"/>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15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174,924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167,265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53.7 %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Gross profit increased 4.6% for the three months ended June 29, 2024 as compared with the same period of fiscal 2024. Without the effects of foreign exchange, gross profit increased 5.8% during the three months ended June 29, 2024 as compared with the same period of fiscal 2024. The increase during the three months ended June 29, 2024 was driven by increased revenues in the Hospital business and volume and mix, partially offset by amortization of fair value inventory step-up and restructuring costs related to portfolio rationalization initiatives.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1"/>
                <w:szCs w:val="11"/>
                <w:color w:val="auto"/>
              </w:rPr>
            </w:pPr>
          </w:p>
        </w:tc>
        <w:tc>
          <w:tcPr>
            <w:tcW w:w="146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1"/>
                <w:szCs w:val="11"/>
                <w:color w:val="auto"/>
              </w:rPr>
            </w:pPr>
          </w:p>
        </w:tc>
        <w:tc>
          <w:tcPr>
            <w:tcW w:w="1700" w:type="dxa"/>
            <w:vAlign w:val="bottom"/>
            <w:gridSpan w:val="2"/>
          </w:tcPr>
          <w:p>
            <w:pPr>
              <w:ind w:left="540"/>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15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14,449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14.2 %</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108,248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93,485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32.2 %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30.0 %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66.9 %</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135,168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113,606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19.0 %</w:t>
            </w:r>
          </w:p>
        </w:tc>
        <w:tc>
          <w:tcPr>
            <w:tcW w:w="0" w:type="dxa"/>
            <w:vAlign w:val="bottom"/>
          </w:tcPr>
          <w:p>
            <w:pPr>
              <w:spacing w:after="0"/>
              <w:rPr>
                <w:sz w:val="1"/>
                <w:szCs w:val="1"/>
                <w:color w:val="auto"/>
              </w:rPr>
            </w:pPr>
          </w:p>
        </w:tc>
      </w:tr>
      <w:tr>
        <w:trPr>
          <w:trHeight w:val="23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36.5 %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14.2% during the three months ended June 29, 2024, as compared with the same period of fiscal 2024. Without the effects of foreign exchange, research and development expenses increased 14.2% during the three months ended June 29, 2024 as compared with the same period of fiscal 2024. The increase during the three months ended June 29, 2024 was due to increased headcount as a result of recent acquisitions.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15.8% during the three months ended June 29, 2024 as compared with the same period of fiscal 2024. Without the effects of foreign exchange, selling, general, and administrative expenses increased 15.2% during the three months ended June 29, 2024 as compared with the same period of fiscal 2024. The increase during the three months ended June 29, 2024 was primarily driven by transaction, integration and operating costs related to recent acquisitions, as well as increased headcount, partially offset by gains realized on the sale of a manufacturing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amortization expense related to our acquired intangible assets of $12.5 million during the three months ended June 29, 2024 and</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$7.5 million during the three months ended July 1, 2023. The increase was related to the amortization of the intangible assets acquired in conjunction with the recent acquisitions of OpSens and Attune Medical.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2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Interest and other income increased $9.0 million during the three months ended June 29, 2024, as compared with the same period of fiscal 2024. The increase during three months ended June 29, 2024 was driven by the net gain on the repurchase of convertible notes during the first quarter of fiscal 2025, partially offset by higher interest incurred on our term loan and revolving credit facilities as compared with the same period of fiscal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transaction costs.</w:t>
      </w:r>
    </w:p>
    <w:p>
      <w:pPr>
        <w:spacing w:after="0" w:line="19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For the three months ended June 29, 2024, the Company reported income tax expense of $8.3 million, representing an effective tax rate of 17.9%. The effective tax rate for the three months ended June 29, 2024 includes $3.6 million of discrete tax benefit, primarily related to stock compensation windfalls. The discrete benefit also includes other items such as provision to return differences.</w:t>
      </w:r>
    </w:p>
    <w:p>
      <w:pPr>
        <w:spacing w:after="0" w:line="200" w:lineRule="exact"/>
        <w:rPr>
          <w:sz w:val="20"/>
          <w:szCs w:val="20"/>
          <w:color w:val="auto"/>
        </w:rPr>
      </w:pPr>
    </w:p>
    <w:p>
      <w:pPr>
        <w:spacing w:after="0" w:line="26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three months ended July 1, 2023, the Company reported income tax expense of $10.5 million, representing an effective tax rates of 20.4%. The effective tax rate for the three months ended July 1, 2023 includes $1.2 million of discrete tax benefit primarily related to stock compensation windfalls.</w:t>
      </w:r>
    </w:p>
    <w:p>
      <w:pPr>
        <w:spacing w:after="0" w:line="17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decrease in the reported tax rates for the three months ended June 29, 2024, compared to the same period in fiscal 2024, relates primarily to increased discrete tax benefits year-over-year, partially offset by unfavorable impact of jurisdictional mix of earnings and non-deductible acquisition-related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3"/>
                <w:szCs w:val="13"/>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280" w:type="dxa"/>
            <w:vAlign w:val="bottom"/>
          </w:tcPr>
          <w:p>
            <w:pPr>
              <w:spacing w:after="0"/>
              <w:rPr>
                <w:sz w:val="13"/>
                <w:szCs w:val="13"/>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6"/>
        </w:trPr>
        <w:tc>
          <w:tcPr>
            <w:tcW w:w="79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718,502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debt position</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(879,157)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(628,993)</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debt position is the sum of cash and cash equivalents less total debt.</w:t>
      </w:r>
    </w:p>
    <w:p>
      <w:pPr>
        <w:spacing w:after="0" w:line="22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convertible senior notes due March 1, 2026. Our expected cash outlays relate primarily to acquisitions, investments, capital expenditures, including enhancements to our North American manufacturing facilities, share repurchases, portfolio rationalization initiatives and cash principal and interest payments under our revised credit agreements. As of June 29, 2024, we had $344.4 million in cash and cash equivalents, the majority of which is held in the U.S. or in countries from which it can be repatriated to the U.S.</w:t>
      </w:r>
    </w:p>
    <w:p>
      <w:pPr>
        <w:spacing w:after="0" w:line="21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the first quarter of fiscal 2025, the Company used a portion of its proceeds from the 2029 Notes to repurchase, for $185.5 million, $200.0 million of the $500.0 million aggregate principal amount of its 0% convertible senior notes due 2026 (the “2026 Notes”), resulting in a gain of $14.5 million related to the discount on repurchase. As the repurchase of the 2026 Notes met the criteria for extinguishment accounting, $1.9 million of unamortized debt issuance costs were allocated to the repurchase, resulting in a net gain of $12.6 million. As of June 29, 2024, the $300.0 million remaining principal balance on the 2026 Notes was netted down by $2.6 million of remaining debt issuance costs, resulting in a net convertible note payable of $297.4 million. Interest expense related to the 2026 Notes was $0.7 million for the three months ended June 29, 2024, which is entirely attributable to the amortization of the debt issuance costs. The remaining debt issuance costs are amortized at an effective interest rate of 0.5%.</w:t>
      </w:r>
    </w:p>
    <w:p>
      <w:pPr>
        <w:spacing w:after="0" w:line="21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 their maturity date through June 2025. The amended and restated credit agreement provided for a $280.0 million senior unsecured term loan and a $420.0 million senior unsecured revolving credit facility (together, the “2022 Revised Credit Facilities”) with applicable interest rates during the period established using an annual rate equal to the Adjusted Term SOFR Rate plus an applicable rate ranging from 1.125% to 1.750% based on the Company’s consolidated net leverage ratio, as specified in the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will initially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21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At June 29, 2024, $248.4 million was outstanding under the term loan with an effective interest rate of 6.8%. There were no outstanding borrowings under the revolving credit facilities at June 29, 2024, as the Company paid all outstanding borrowings during the first quarter of fiscal 2025. The Company also had $17.6 million of uncommitted operating lines of credit to fund its global operations under which there were no outstanding borrowings as of June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scheduled principal payments of $3.1 million required during the remainder of fiscal 2025 related to its term loan.</w:t>
      </w:r>
    </w:p>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2022, our Board of Directors approved a revised Operational Excellence Program. We estimate that we will incur aggregate charges between $85 million and $95 million in connection with the Operational Excellence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months ended June 29, 2024, we incurred $2.4 million of restructuring and restructuring related costs under this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1"/>
                <w:szCs w:val="11"/>
                <w:color w:val="auto"/>
              </w:rPr>
            </w:pPr>
          </w:p>
        </w:tc>
        <w:tc>
          <w:tcPr>
            <w:tcW w:w="136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60" w:type="dxa"/>
            <w:vAlign w:val="bottom"/>
          </w:tcPr>
          <w:p>
            <w:pPr>
              <w:spacing w:after="0"/>
              <w:rPr>
                <w:sz w:val="11"/>
                <w:szCs w:val="11"/>
                <w:color w:val="auto"/>
              </w:rPr>
            </w:pPr>
          </w:p>
        </w:tc>
        <w:tc>
          <w:tcPr>
            <w:tcW w:w="1240" w:type="dxa"/>
            <w:vAlign w:val="bottom"/>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6"/>
        </w:trPr>
        <w:tc>
          <w:tcPr>
            <w:tcW w:w="79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0" w:type="dxa"/>
            <w:vAlign w:val="bottom"/>
          </w:tcPr>
          <w:p>
            <w:pPr>
              <w:spacing w:after="0"/>
              <w:rPr>
                <w:sz w:val="1"/>
                <w:szCs w:val="1"/>
                <w:color w:val="auto"/>
              </w:rPr>
            </w:pPr>
          </w:p>
        </w:tc>
      </w:tr>
      <w:tr>
        <w:trPr>
          <w:trHeight w:val="230"/>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500" w:firstLine="8"/>
        <w:spacing w:after="0" w:line="362" w:lineRule="auto"/>
        <w:tabs>
          <w:tab w:leader="none" w:pos="132"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14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by $46.5 million during the three months ended June 29, 2024, as compared with the three months ended July 1, 2023. The increase in cash used in operating activities was primarily due to the timing of accounts payable payments, decreased net income when considering certain non-cash items, increased inventory balances and a payment in connection with a previously disclosed legal settlement.</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by $123.9 million during the three months ended June 29, 2024, as compared with the three months ended July 1, 2023. The increase in cash used in investing activities was primarily the result of the acquisition of Attune Medical, partially offset by the proceeds from the sales of property, plant and equipment.</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by $334.3 million during the three months ended June 29, 2024, as compared with the three months ended July 1, 2023, primarily due to the issuance the 2029 Notes, partially offset by the repurchase of a portion of the 2026 Notes, capped call transactions, payments on the revolving credit facility and debt issuance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1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29, 2024, 26.0%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spacing w:after="0" w:line="21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to the Condensed Consolidated Financial Statements for a discussion of recently issued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97"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 (as supplemented by Item 1A of Part II of this Quarterly Report on Form 10-Q).</w:t>
      </w:r>
    </w:p>
    <w:p>
      <w:pPr>
        <w:spacing w:after="0" w:line="2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long-term strategic and financial-improvement goals;</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88" w:lineRule="exact"/>
        <w:rPr>
          <w:rFonts w:ascii="Times New Roman" w:cs="Times New Roman" w:eastAsia="Times New Roman" w:hAnsi="Times New Roman"/>
          <w:sz w:val="18"/>
          <w:szCs w:val="18"/>
          <w:color w:val="auto"/>
        </w:rPr>
      </w:pPr>
    </w:p>
    <w:p>
      <w:pPr>
        <w:ind w:left="660" w:right="500" w:hanging="328"/>
        <w:spacing w:after="0" w:line="312"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66" w:lineRule="exact"/>
        <w:rPr>
          <w:rFonts w:ascii="Times New Roman" w:cs="Times New Roman" w:eastAsia="Times New Roman" w:hAnsi="Times New Roman"/>
          <w:sz w:val="17"/>
          <w:szCs w:val="17"/>
          <w:color w:val="auto"/>
        </w:rPr>
      </w:pPr>
    </w:p>
    <w:p>
      <w:pPr>
        <w:ind w:left="660" w:right="7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88"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including the Company’s acquisitions of OpSens Inc. and Attune Medical, divestitures or other strategic investments by the Company may not be realized or may take longer to realize than expected;</w:t>
      </w:r>
    </w:p>
    <w:p>
      <w:pPr>
        <w:spacing w:after="0" w:line="20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8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spacing w:after="0" w:line="206"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the Operational Excellence Program and portfolio rationalization initiatives;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enhanced requirements to obtain regulatory approval in the U.S. and around the world and the associated timing and cost of product approval;</w:t>
      </w:r>
    </w:p>
    <w:p>
      <w:pPr>
        <w:spacing w:after="0" w:line="18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U.S. and foreign export and import restrictions and tariffs;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Taiwan, Russia, Ukraine, the Middle East and other foreign jurisdictions where we do business;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pacing w:after="0" w:line="188"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against our corporate responsibility initiatives and meet evolving stakeholder expectations concerning corporate responsibility matters;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public health crises.</w:t>
      </w:r>
    </w:p>
    <w:p>
      <w:pPr>
        <w:spacing w:after="0" w:line="23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in our Annual Report on Form 10-K (as supplemented by Item 1A of Part II of this Quarterly Report on Form 10-Q)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exposures relative to market risk are due to foreign exchange risk and interest rate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June 29, 2024, in the event of a 10% strengthening of the U.S. Dollar, the change in fair value of all forward contracts would result in a $3.2 million increase in the fair value of the forward contracts, whereas a 10% weakening of the U.S. Dollar would result in a $3.9 million decrease in the fair value of the forward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senior unsecured term loan as of June 29, 2024 was $248.4 million with an effective interest rate of 6.8% based on prevailing Term SOFR rates. An increase of 100 basis points in Term SOFR rates would result in additional annual interest expense of $0.4 million. As of June 29, 2024, the notional amount on our two active interest rate swap agreements to effectively convert borrowings under our 2022 Revised Credit Facilities from a variable rate to a fixed rate were $208.6 million. These interest rate swaps are intended to mitigate the exposure to fluctuations in interest rates and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conducted an evaluation, as of June 29, 2024,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Officer concluded that our disclosure controls and procedures were effective as of June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29, 2024 that have materially affected, or are reasonably likely to materially affect, our internal control over financial reporting.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second quarter of fiscal 2024, we implemented the first phase of a new global enterprise resource planning (“ERP”) system, which will continue to be implemented in phases through fiscal 2025. The ERP will replace existing financial systems we have historically relied on. As each phase of the implementation occurs, we will reassess our processes and procedures, which may result in changes to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 this Quarterly Report on Form 10-Q, which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encourage you to carefully consider the risk factors identified below and in Item 1A. “Risk Factors” of our Annual Report on Form 10-K for the year ended March 30, 2024, filed with the Securities and Exchange Commission on May 20, 2024. These risk factors could materially affect our business, financial condition, and future results, and they could cause our actual business and financial results to differ materially from those contained in forward-looking statements made in this Quarterly Report on Form 10-Q or elsewhere by management.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Obligations and Indebtedness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that may decrease our business flexibility, access to capital, and/or increase our borrowing costs, and we may still incur additional debt in the future, which may adversely affect our operations and financial results.</w:t>
      </w:r>
    </w:p>
    <w:p>
      <w:pPr>
        <w:spacing w:after="0" w:line="18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 second amended and restated credit agreement with certain lenders to refinance the existing senior unsecured term loan and senior unsecured revolving credit facility and extend their maturity date through April 2029. The second amended and restated credit agreement provides for a $250.0 million senior unsecured term loan and a $750.0 million senior unsecured revolving credit facility, or together, the 2024 Revised Credit Facilities. In May 2024, the Company issued $700.0 million aggregate principal amount of indebtedness under the Company’s convertible notes due 2029, or 2029 Notes, and used $230.0 million of the proceeds to repay the entirety of the previously outstanding under the Company’s senior unsecured revolving credit facility and $185.5 million of the proceeds to repurchase $200.0 million in aggregate principal amount of the Company’s convertible senior notes due 2026, or 2026 Notes. The 2026 Notes and 2029 Notes are referred below collectively as the Notes. As of June 30, 2024, the Company had $250.0 million of debt outstanding under the senior unsecured term loan, $300.0 million aggregate principal amount of indebtedness under the 2026 Notes, and $700.0 million aggregate principal amount of indebtedness under the 2029 Notes.</w:t>
      </w:r>
    </w:p>
    <w:p>
      <w:pPr>
        <w:spacing w:after="0" w:line="21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2024 Revised Credit Facilities contain financial covenants that require us to maintain specified financial ratios that may limit our ability to borrow additional funds and that require us to make interest and principal payments. As of June 30, 2024, we were in compliance with the covenants pursuant to our 2024 Revised Credit Facilities, and we currently forecast that we will be in compliance with these covenants through the period ending March 29,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certain circumstances, the noteholders may convert their Notes at their option prior to their respective scheduled maturities. If one or more noteholders elect to convert their Notes, we would be required to settle a portion or all of our conversion obligation through the payment of cash, which could adversely affect our liquidity. In addition, holders of our Notes will have the right to require us to repurchase their Notes upon the occurrence of a fundamental change (as defined in the applicable indenture (each, an “Indenture”)), at a repurchase price equal to the principal amount of the Notes to be repurchased, plus accrued and unpaid special interest, if any, to but not including, the fundamental change repurchase date. We may not have enough available cash or be able to obtain financing at the time we are required to repurchase the applicable Notes or pay the cash amounts due upon conversion. In addition, applicable law, regulatory authorities and the agreements governing our other indebtedness may restrict our ability to repurchase the Notes or pay the cash amounts due upon conversion. Our failure to repurchase the Notes or to pay the cash amounts due upon conversion when required will constitute a default under the applicable Indenture. A default under an Indenture or the fundamental change itself could also lead to a default under agreements governing our other indebtedness, including our 2024 Revised Credit Facilities and the other Notes, which may result in that other indebtedness becoming immediately payable in full. We may not have sufficient funds to satisfy all amounts due under the other indebtedness and the Notes.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Notes and our common stock.</w:t>
      </w:r>
    </w:p>
    <w:p>
      <w:pPr>
        <w:spacing w:after="0" w:line="25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privately negotiated capped call transactions (the “Capped Call Transactions”) with certain financial institutions (the “Option Counterparties”). The Capped Call Transactions are expected generally to reduce the potential dilution to our common stock upon any conversion of the Notes and/or offset any potential cash payments we are required to make in excess of the principal amount of converted Notes, as the case may be, with such reduction and/or offset subject to a cap.</w:t>
      </w:r>
    </w:p>
    <w:p>
      <w:pPr>
        <w:spacing w:after="0" w:line="20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From time to time,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could also cause or avoid an increase or a decrease in the market price of our common stock or the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are subject to the risk that one or more of the Option Counterparties may default or otherwise fail to perform, or may exercise certain rights to terminate, their obligations under the Capped Call Transactions. Our exposure to the credit risk of the option counterparties is not secured by any collateral. Past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the time under such transactions with such Option Counterparty. Our exposure depends on many factors, but our exposure will generally increase if the market price or the volatility of our common stock increases. In addition, upon default by an Option Counterparty, we may suffer more dilution than we currently anticipate with respect to our common stock. We can provide no assurances as to the financial stability or viability of the Option Counterparties.</w:t>
      </w:r>
    </w:p>
    <w:p>
      <w:pPr>
        <w:spacing w:after="0" w:line="2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Indentures could delay or prevent an otherwise beneficial takeover of us.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provisions in the Notes and the Indentures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Indentures could increase the cost of acquiring us or otherwise discourage a third party from acquiring us or removing incumbent management, including in a transaction that noteholders or holders of our common stock may view as favorable.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Notes may dilute the ownership interest of existing stockholders.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Notes will dilute the ownership interests of existing stockholders to the extent we deliver shares of our common stock upon conversion of any of the Notes. Any sales in the public market of the common stock issuable upon such conversion could adversely affect our common stock’s prevailing market prices.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During the three months ended June 29, 2024, certain of our directors and officers (as defined under Rule 16a-1(f) under the Securities Exchange Act of 1934) adopted or terminated trading arrangements for the sale of shares of our common stock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Date</w:t>
            </w:r>
            <w:r>
              <w:rPr>
                <w:rFonts w:ascii="Times New Roman" w:cs="Times New Roman" w:eastAsia="Times New Roman" w:hAnsi="Times New Roman"/>
                <w:sz w:val="23"/>
                <w:szCs w:val="23"/>
                <w:b w:val="1"/>
                <w:bCs w:val="1"/>
                <w:color w:val="auto"/>
                <w:w w:val="92"/>
                <w:vertAlign w:val="superscript"/>
              </w:rPr>
              <w:t>(1)</w:t>
            </w:r>
          </w:p>
        </w:tc>
        <w:tc>
          <w:tcPr>
            <w:tcW w:w="1120" w:type="dxa"/>
            <w:vAlign w:val="bottom"/>
            <w:tcBorders>
              <w:top w:val="single" w:sz="8" w:color="auto"/>
            </w:tcBorders>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Rule 10b5-</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Non-Rule</w:t>
            </w:r>
          </w:p>
        </w:tc>
        <w:tc>
          <w:tcPr>
            <w:tcW w:w="5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10b5-</w:t>
            </w:r>
          </w:p>
        </w:tc>
        <w:tc>
          <w:tcPr>
            <w:tcW w:w="100" w:type="dxa"/>
            <w:vAlign w:val="bottom"/>
          </w:tcPr>
          <w:p>
            <w:pPr>
              <w:spacing w:after="0"/>
              <w:rPr>
                <w:sz w:val="14"/>
                <w:szCs w:val="14"/>
                <w:color w:val="auto"/>
              </w:rPr>
            </w:pPr>
          </w:p>
        </w:tc>
        <w:tc>
          <w:tcPr>
            <w:tcW w:w="17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43"/>
        </w:trPr>
        <w:tc>
          <w:tcPr>
            <w:tcW w:w="308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95"/>
              </w:rPr>
              <w:t>to be Sold</w:t>
            </w:r>
            <w:r>
              <w:rPr>
                <w:rFonts w:ascii="Times New Roman" w:cs="Times New Roman" w:eastAsia="Times New Roman" w:hAnsi="Times New Roman"/>
                <w:sz w:val="23"/>
                <w:szCs w:val="23"/>
                <w:b w:val="1"/>
                <w:bCs w:val="1"/>
                <w:color w:val="auto"/>
                <w:w w:val="95"/>
                <w:vertAlign w:val="superscript"/>
              </w:rPr>
              <w:t>(2)</w:t>
            </w:r>
          </w:p>
        </w:tc>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Date</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169"/>
        </w:trPr>
        <w:tc>
          <w:tcPr>
            <w:tcW w:w="29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Josep L. Llorens, EVP, Global</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Supply Chain</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6/12/2024</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7/11/2025</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 Intended to satisfy the affirmative defense conditions of Rule 10b5-1(c) under the Securities Exchange Act of 1934.</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Not intended to satisfy the affirmative defense conditions of Rule 10b5-1(c) under the Securities Exchange Act of 1934.</w:t>
      </w:r>
    </w:p>
    <w:p>
      <w:pPr>
        <w:spacing w:after="0" w:line="11" w:lineRule="exact"/>
        <w:rPr>
          <w:sz w:val="20"/>
          <w:szCs w:val="20"/>
          <w:color w:val="auto"/>
        </w:rPr>
      </w:pPr>
    </w:p>
    <w:p>
      <w:pPr>
        <w:ind w:left="180" w:hanging="154"/>
        <w:spacing w:after="0"/>
        <w:tabs>
          <w:tab w:leader="none" w:pos="1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the fully-executed date of each trading arrangement, which may differ from the date of first execution by an officer or director.</w:t>
      </w:r>
    </w:p>
    <w:p>
      <w:pPr>
        <w:spacing w:after="0" w:line="30" w:lineRule="exact"/>
        <w:rPr>
          <w:rFonts w:ascii="Times New Roman" w:cs="Times New Roman" w:eastAsia="Times New Roman" w:hAnsi="Times New Roman"/>
          <w:sz w:val="19"/>
          <w:szCs w:val="19"/>
          <w:color w:val="auto"/>
          <w:vertAlign w:val="superscript"/>
        </w:rPr>
      </w:pPr>
    </w:p>
    <w:p>
      <w:pPr>
        <w:ind w:left="20" w:right="220" w:firstLine="6"/>
        <w:spacing w:after="0" w:line="213" w:lineRule="auto"/>
        <w:tabs>
          <w:tab w:leader="none" w:pos="165"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number of shares of common stock sold under each trading arrangement, if any, will be net of shares withheld for applicable tax obligations upon the vesting and/or exercise of covered securities as well as for payment of the exercise price upon the exercise of stock options, which amounts are not yet determinable.</w:t>
      </w:r>
    </w:p>
    <w:p>
      <w:pPr>
        <w:spacing w:after="0" w:line="1" w:lineRule="exact"/>
        <w:rPr>
          <w:rFonts w:ascii="Times New Roman" w:cs="Times New Roman" w:eastAsia="Times New Roman" w:hAnsi="Times New Roman"/>
          <w:sz w:val="17"/>
          <w:szCs w:val="17"/>
          <w:color w:val="auto"/>
          <w:vertAlign w:val="superscript"/>
        </w:rPr>
      </w:pPr>
    </w:p>
    <w:p>
      <w:pPr>
        <w:ind w:left="180" w:hanging="154"/>
        <w:spacing w:after="0" w:line="222" w:lineRule="auto"/>
        <w:tabs>
          <w:tab w:leader="none" w:pos="1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Except as otherwise indicated by footnote, each trading arrangement expires upon the earlier of (a) completion of all authorized transactions thereunder and (b) the expiration date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800" w:right="280" w:hanging="768"/>
        <w:spacing w:after="0" w:line="237" w:lineRule="auto"/>
        <w:tabs>
          <w:tab w:leader="none" w:pos="780" w:val="left"/>
        </w:tabs>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80" w:lineRule="exact"/>
        <w:rPr>
          <w:sz w:val="20"/>
          <w:szCs w:val="20"/>
          <w:color w:val="auto"/>
        </w:rPr>
      </w:pPr>
    </w:p>
    <w:p>
      <w:pPr>
        <w:ind w:left="800" w:right="640" w:hanging="768"/>
        <w:spacing w:after="0" w:line="237" w:lineRule="auto"/>
        <w:tabs>
          <w:tab w:leader="none" w:pos="780" w:val="left"/>
        </w:tabs>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By-Laws of the Company, as amended through June 29, 2020 (filed as Exhibit 3.1 to the Company’s Form 8-K dated June 30, 2020 and incorporated herein by reference).</w:t>
      </w:r>
    </w:p>
    <w:p>
      <w:pPr>
        <w:spacing w:after="0" w:line="280" w:lineRule="exact"/>
        <w:rPr>
          <w:sz w:val="20"/>
          <w:szCs w:val="20"/>
          <w:color w:val="auto"/>
        </w:rPr>
      </w:pPr>
    </w:p>
    <w:p>
      <w:pPr>
        <w:ind w:left="800" w:right="100" w:hanging="768"/>
        <w:spacing w:after="0" w:line="237" w:lineRule="auto"/>
        <w:tabs>
          <w:tab w:leader="none" w:pos="780" w:val="left"/>
        </w:tabs>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t>Indenture, dated as of May 28, 2024, between Haemonetics Corporation and U.S. Bank National Association, as trustee. (filed as Exhibit 4.1 to the Company’s Form 8-K dated May 29, 2024 and incorporated herein by reference).</w:t>
      </w:r>
    </w:p>
    <w:p>
      <w:pPr>
        <w:spacing w:after="0" w:line="280" w:lineRule="exact"/>
        <w:rPr>
          <w:sz w:val="20"/>
          <w:szCs w:val="20"/>
          <w:color w:val="auto"/>
        </w:rPr>
      </w:pPr>
    </w:p>
    <w:p>
      <w:pPr>
        <w:ind w:left="800" w:right="100" w:hanging="768"/>
        <w:spacing w:after="0" w:line="237" w:lineRule="auto"/>
        <w:tabs>
          <w:tab w:leader="none" w:pos="780" w:val="left"/>
        </w:tabs>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t>Form of certificate representing the 2.50% Convertible Senior Notes due 2029 (included as Exhibit A to Exhibit 4.1) (filed as Exhibit 4.2 to the Company’s Form 8-K dated May 29, 2024 and incorporated herein by reference).</w:t>
      </w:r>
    </w:p>
    <w:p>
      <w:pPr>
        <w:spacing w:after="0" w:line="280" w:lineRule="exact"/>
        <w:rPr>
          <w:sz w:val="20"/>
          <w:szCs w:val="20"/>
          <w:color w:val="auto"/>
        </w:rPr>
      </w:pPr>
    </w:p>
    <w:p>
      <w:pPr>
        <w:ind w:left="800" w:right="160" w:hanging="768"/>
        <w:spacing w:after="0" w:line="236" w:lineRule="auto"/>
        <w:tabs>
          <w:tab w:leader="none" w:pos="780" w:val="left"/>
        </w:tabs>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Amended and Restated Credit Agreement, dated as of April 30, 2024, by and among the Company, the lenders from time to time party thereto and JPMorgan Chase Bank, N.A., as administrative agent (filed as Exhibit 10.1 to the Company’s Form 8-K dated May 1, 2024 and</w:t>
      </w:r>
    </w:p>
    <w:p>
      <w:pPr>
        <w:ind w:left="800"/>
        <w:spacing w:after="0"/>
        <w:rPr>
          <w:sz w:val="20"/>
          <w:szCs w:val="20"/>
          <w:color w:val="auto"/>
        </w:rPr>
      </w:pPr>
      <w:r>
        <w:rPr>
          <w:rFonts w:ascii="Times New Roman" w:cs="Times New Roman" w:eastAsia="Times New Roman" w:hAnsi="Times New Roman"/>
          <w:sz w:val="18"/>
          <w:szCs w:val="18"/>
          <w:color w:val="auto"/>
        </w:rPr>
        <w:t>incorporated herein by reference).</w:t>
      </w:r>
    </w:p>
    <w:p>
      <w:pPr>
        <w:spacing w:after="0" w:line="273" w:lineRule="exact"/>
        <w:rPr>
          <w:sz w:val="20"/>
          <w:szCs w:val="20"/>
          <w:color w:val="auto"/>
        </w:rPr>
      </w:pPr>
    </w:p>
    <w:p>
      <w:pPr>
        <w:ind w:left="800" w:right="80" w:hanging="768"/>
        <w:spacing w:after="0" w:line="237" w:lineRule="auto"/>
        <w:tabs>
          <w:tab w:leader="none" w:pos="780" w:val="left"/>
        </w:tabs>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FF"/>
        </w:rPr>
        <w:tab/>
        <w:t>Form of Confirmation of Base Call Option Transaction (filed as Exhibit 10.1 to the Company’s Form 8-K dated May 29, 2024 and incorporated herein by reference).</w:t>
      </w:r>
    </w:p>
    <w:p>
      <w:pPr>
        <w:spacing w:after="0" w:line="280" w:lineRule="exact"/>
        <w:rPr>
          <w:sz w:val="20"/>
          <w:szCs w:val="20"/>
          <w:color w:val="auto"/>
        </w:rPr>
      </w:pPr>
    </w:p>
    <w:p>
      <w:pPr>
        <w:ind w:left="800" w:right="620" w:hanging="768"/>
        <w:spacing w:after="0" w:line="237" w:lineRule="auto"/>
        <w:tabs>
          <w:tab w:leader="none" w:pos="780" w:val="left"/>
        </w:tabs>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FF"/>
        </w:rPr>
        <w:tab/>
        <w:t>Form of Confirmation of Additional Call Option Transaction (filed as Exhibit 10.2 to the Company’s Form 8-K dated May 29, 2024 and incorporated herein by reference).</w:t>
      </w:r>
    </w:p>
    <w:p>
      <w:pPr>
        <w:spacing w:after="0" w:line="280" w:lineRule="exact"/>
        <w:rPr>
          <w:sz w:val="20"/>
          <w:szCs w:val="20"/>
          <w:color w:val="auto"/>
        </w:rPr>
      </w:pPr>
    </w:p>
    <w:p>
      <w:pPr>
        <w:ind w:left="800" w:right="3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 Company.</w:t>
      </w:r>
    </w:p>
    <w:p>
      <w:pPr>
        <w:spacing w:after="0" w:line="239" w:lineRule="exact"/>
        <w:rPr>
          <w:sz w:val="20"/>
          <w:szCs w:val="20"/>
          <w:color w:val="auto"/>
        </w:rPr>
      </w:pPr>
    </w:p>
    <w:p>
      <w:pPr>
        <w:ind w:left="8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of 2002, of James C. D'Arecca, Executive Vice President, Chief Financial Officer of the Company.</w:t>
      </w:r>
    </w:p>
    <w:p>
      <w:pPr>
        <w:spacing w:after="0" w:line="239" w:lineRule="exact"/>
        <w:rPr>
          <w:sz w:val="20"/>
          <w:szCs w:val="20"/>
          <w:color w:val="auto"/>
        </w:rPr>
      </w:pPr>
    </w:p>
    <w:p>
      <w:pPr>
        <w:ind w:left="800" w:right="6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Christopher A. Simon, President and Chief Executive Officer of the Company.</w:t>
      </w:r>
    </w:p>
    <w:p>
      <w:pPr>
        <w:spacing w:after="0" w:line="239" w:lineRule="exact"/>
        <w:rPr>
          <w:sz w:val="20"/>
          <w:szCs w:val="20"/>
          <w:color w:val="auto"/>
        </w:rPr>
      </w:pPr>
    </w:p>
    <w:p>
      <w:pPr>
        <w:ind w:left="800" w:right="12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James C. D'Arecca, Executive Vice President, Chief Financial Officer of the Company.</w:t>
      </w:r>
    </w:p>
    <w:p>
      <w:pPr>
        <w:spacing w:after="0" w:line="280" w:lineRule="exact"/>
        <w:rPr>
          <w:sz w:val="20"/>
          <w:szCs w:val="20"/>
          <w:color w:val="auto"/>
        </w:rPr>
      </w:pPr>
    </w:p>
    <w:p>
      <w:pPr>
        <w:ind w:left="800" w:right="40" w:hanging="779"/>
        <w:spacing w:after="0" w:line="236" w:lineRule="auto"/>
        <w:tabs>
          <w:tab w:leader="none" w:pos="7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Haemonetics Corporation on Form 10-Q for the quarter ended June 29, 2024 formatted in inline Extensible Business Reporting Language (XBRL) includes: (i) Condensed Consolidated Statements of Income and Comprehensive Income, (ii) Condensed</w:t>
      </w:r>
    </w:p>
    <w:p>
      <w:pPr>
        <w:ind w:left="800" w:right="20"/>
        <w:spacing w:after="0" w:line="226" w:lineRule="auto"/>
        <w:rPr>
          <w:sz w:val="20"/>
          <w:szCs w:val="20"/>
          <w:color w:val="auto"/>
        </w:rPr>
      </w:pPr>
      <w:r>
        <w:rPr>
          <w:rFonts w:ascii="Times New Roman" w:cs="Times New Roman" w:eastAsia="Times New Roman" w:hAnsi="Times New Roman"/>
          <w:sz w:val="18"/>
          <w:szCs w:val="18"/>
          <w:color w:val="auto"/>
        </w:rPr>
        <w:t>Consolidated Balance Sheets, (iii) Condensed Consolidated Statement of Stockholders' Equity, (iv) Condensed Consolidated Statements of Cash Flows, and (v) Notes to Condensed Consolidated Financial Statements.</w:t>
      </w:r>
    </w:p>
    <w:p>
      <w:pPr>
        <w:spacing w:after="0" w:line="26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hanging="63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Christopher A. Simon,</w:t>
      </w: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70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340"/>
          </w:cols>
          <w:pgMar w:left="320" w:top="121" w:right="1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60" w:hanging="324"/>
        <w:spacing w:after="0" w:line="312" w:lineRule="auto"/>
        <w:tabs>
          <w:tab w:leader="none" w:pos="9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68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D'Arecca,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1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3060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52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June 29, 2024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June 29, 2024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57" Type="http://schemas.openxmlformats.org/officeDocument/2006/relationships/hyperlink" Target="https://www.sec.gov/Archives/edgar/data/313143/000031314319000035/exhibit31-restatedarticles.htm" TargetMode="External"/><Relationship Id="rId58" Type="http://schemas.openxmlformats.org/officeDocument/2006/relationships/hyperlink" Target="https://www.sec.gov/Archives/edgar/data/313143/000031314320000052/by-lawsasamended62920.htm" TargetMode="External"/><Relationship Id="rId59" Type="http://schemas.openxmlformats.org/officeDocument/2006/relationships/hyperlink" Target="https://www.sec.gov/Archives/edgar/data/313143/000110465924066056/tm2415643d1_ex4-1.htm" TargetMode="External"/><Relationship Id="rId60" Type="http://schemas.openxmlformats.org/officeDocument/2006/relationships/hyperlink" Target="https://www.sec.gov/Archives/edgar/data/313143/000095010324006128/dp210533_ex1001.htm" TargetMode="External"/><Relationship Id="rId61" Type="http://schemas.openxmlformats.org/officeDocument/2006/relationships/hyperlink" Target="https://www.sec.gov/Archives/edgar/data/313143/000110465924066056/tm2415643d1_ex10-1.htm" TargetMode="External"/><Relationship Id="rId62" Type="http://schemas.openxmlformats.org/officeDocument/2006/relationships/hyperlink" Target="https://www.sec.gov/Archives/edgar/data/313143/000110465924066056/tm2415643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2024-08-08T05:24:29Z</dcterms:created>
  <dcterms:modified xsi:type="dcterms:W3CDTF">2024-08-08T05:24:29Z</dcterms:modified>
</cp:coreProperties>
</file>