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October 1,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1-14041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1440" w:gutter="0" w:footer="0" w:header="0"/>
        </w:sectPr>
      </w:pPr>
    </w:p>
    <w:p>
      <w:pPr>
        <w:spacing w:after="0" w:line="205"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Massachusetts</w:t>
      </w:r>
    </w:p>
    <w:p>
      <w:pPr>
        <w:spacing w:after="0" w:line="2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400"/>
        <w:spacing w:after="0"/>
        <w:rPr>
          <w:sz w:val="20"/>
          <w:szCs w:val="20"/>
          <w:color w:val="auto"/>
        </w:rPr>
      </w:pPr>
      <w:r>
        <w:rPr>
          <w:rFonts w:ascii="Arial" w:cs="Arial" w:eastAsia="Arial" w:hAnsi="Arial"/>
          <w:sz w:val="18"/>
          <w:szCs w:val="18"/>
          <w:b w:val="1"/>
          <w:bCs w:val="1"/>
          <w:color w:val="auto"/>
        </w:rPr>
        <w:t>04-2882273</w:t>
      </w:r>
    </w:p>
    <w:p>
      <w:pPr>
        <w:spacing w:after="0" w:line="27" w:lineRule="exact"/>
        <w:rPr>
          <w:sz w:val="20"/>
          <w:szCs w:val="20"/>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0"/>
          <w:szCs w:val="20"/>
          <w:color w:val="auto"/>
        </w:rPr>
      </w:pPr>
    </w:p>
    <w:p>
      <w:pPr>
        <w:sectPr>
          <w:pgSz w:w="11900" w:h="16838" w:orient="portrait"/>
          <w:cols w:equalWidth="0" w:num="2">
            <w:col w:w="6680" w:space="720"/>
            <w:col w:w="4020"/>
          </w:cols>
          <w:pgMar w:left="240" w:top="122" w:right="239" w:bottom="1440" w:gutter="0" w:footer="0" w:header="0"/>
          <w:type w:val="continuous"/>
        </w:sectPr>
      </w:pPr>
    </w:p>
    <w:p>
      <w:pPr>
        <w:spacing w:after="0" w:line="30"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400 Wood Road, Braintree, MA 02184</w:t>
      </w:r>
    </w:p>
    <w:p>
      <w:pPr>
        <w:spacing w:after="0" w:line="50"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20"/>
          </w:cols>
          <w:pgMar w:left="240" w:top="122" w:right="239" w:bottom="1440" w:gutter="0" w:footer="0" w:header="0"/>
          <w:type w:val="continuous"/>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149" w:lineRule="exact"/>
        <w:rPr>
          <w:sz w:val="20"/>
          <w:szCs w:val="20"/>
          <w:color w:val="auto"/>
        </w:rPr>
      </w:pPr>
    </w:p>
    <w:p>
      <w:pPr>
        <w:jc w:val="center"/>
        <w:ind w:right="100"/>
        <w:spacing w:after="0" w:line="207" w:lineRule="exact"/>
        <w:tabs>
          <w:tab w:leader="none" w:pos="1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9" w:lineRule="exact"/>
        <w:rPr>
          <w:sz w:val="20"/>
          <w:szCs w:val="20"/>
          <w:color w:val="auto"/>
        </w:rPr>
      </w:pPr>
    </w:p>
    <w:p>
      <w:pPr>
        <w:jc w:val="center"/>
        <w:ind w:right="100"/>
        <w:spacing w:after="0" w:line="207" w:lineRule="exact"/>
        <w:tabs>
          <w:tab w:leader="none" w:pos="1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91" w:lineRule="exact"/>
        <w:rPr>
          <w:sz w:val="20"/>
          <w:szCs w:val="20"/>
          <w:color w:val="auto"/>
        </w:rPr>
      </w:pPr>
    </w:p>
    <w:p>
      <w:pPr>
        <w:ind w:left="380"/>
        <w:spacing w:after="0" w:line="207" w:lineRule="exact"/>
        <w:tabs>
          <w:tab w:leader="none" w:pos="3540" w:val="left"/>
          <w:tab w:leader="none" w:pos="6320" w:val="left"/>
          <w:tab w:leader="none" w:pos="90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0"/>
          <w:szCs w:val="20"/>
          <w:color w:val="auto"/>
        </w:rPr>
      </w:pPr>
    </w:p>
    <w:p>
      <w:pPr>
        <w:jc w:val="center"/>
        <w:ind w:right="-59"/>
        <w:spacing w:after="0" w:line="207" w:lineRule="exact"/>
        <w:tabs>
          <w:tab w:leader="none" w:pos="1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number of shares of $.01 par value common stock outstanding as of October 1, 2011: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24,981,455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13"/>
            <w:vMerge w:val="restart"/>
          </w:tcPr>
          <w:p>
            <w:pPr>
              <w:spacing w:after="0"/>
              <w:rPr>
                <w:sz w:val="20"/>
                <w:szCs w:val="20"/>
                <w:color w:val="auto"/>
              </w:rPr>
            </w:pPr>
            <w:r>
              <w:rPr>
                <w:rFonts w:ascii="Arial" w:cs="Arial" w:eastAsia="Arial" w:hAnsi="Arial"/>
                <w:sz w:val="18"/>
                <w:szCs w:val="18"/>
                <w:b w:val="1"/>
                <w:bCs w:val="1"/>
                <w:color w:val="0000EE"/>
              </w:rPr>
              <w:t>PART I. FINANCIAL INFORMATION</w:t>
            </w:r>
          </w:p>
        </w:tc>
        <w:tc>
          <w:tcPr>
            <w:tcW w:w="7540" w:type="dxa"/>
            <w:vAlign w:val="bottom"/>
            <w:gridSpan w:val="9"/>
            <w:vMerge w:val="restart"/>
          </w:tcPr>
          <w:p>
            <w:pPr>
              <w:spacing w:after="0"/>
              <w:rPr>
                <w:sz w:val="14"/>
                <w:szCs w:val="14"/>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080" w:type="dxa"/>
            <w:vAlign w:val="bottom"/>
            <w:tcBorders>
              <w:bottom w:val="single" w:sz="8" w:color="0000EE"/>
            </w:tcBorders>
            <w:gridSpan w:val="13"/>
            <w:vMerge w:val="continue"/>
          </w:tcPr>
          <w:p>
            <w:pPr>
              <w:spacing w:after="0"/>
              <w:rPr>
                <w:sz w:val="14"/>
                <w:szCs w:val="14"/>
                <w:color w:val="auto"/>
              </w:rPr>
            </w:pPr>
          </w:p>
        </w:tc>
        <w:tc>
          <w:tcPr>
            <w:tcW w:w="7540" w:type="dxa"/>
            <w:vAlign w:val="bottom"/>
            <w:gridSpan w:val="9"/>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62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 Financial Statements</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Income — Three and Six Months Ended October 1, 2011 and October 2, 2010</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Consolidated Balance Sheets — October 1, 2011 and April 2, 2011</w:t>
              </w:r>
            </w:hyperlink>
          </w:p>
        </w:tc>
        <w:tc>
          <w:tcPr>
            <w:tcW w:w="2820" w:type="dxa"/>
            <w:vAlign w:val="bottom"/>
            <w:tcBorders>
              <w:top w:val="single" w:sz="8" w:color="0000EE"/>
            </w:tcBorders>
            <w:gridSpan w:val="3"/>
          </w:tcPr>
          <w:p>
            <w:pPr>
              <w:spacing w:after="0"/>
              <w:rPr>
                <w:sz w:val="17"/>
                <w:szCs w:val="17"/>
                <w:color w:val="auto"/>
              </w:rPr>
            </w:pPr>
          </w:p>
        </w:tc>
        <w:tc>
          <w:tcPr>
            <w:tcW w:w="196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 — Six Months Ended October 1, 2011 and October 2, 2010</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Consolidated Financial Statements</w:t>
              </w:r>
            </w:hyperlink>
          </w:p>
        </w:tc>
        <w:tc>
          <w:tcPr>
            <w:tcW w:w="4040" w:type="dxa"/>
            <w:vAlign w:val="bottom"/>
            <w:tcBorders>
              <w:top w:val="single" w:sz="8" w:color="0000EE"/>
            </w:tcBorders>
            <w:gridSpan w:val="5"/>
          </w:tcPr>
          <w:p>
            <w:pPr>
              <w:spacing w:after="0"/>
              <w:rPr>
                <w:sz w:val="17"/>
                <w:szCs w:val="17"/>
                <w:color w:val="auto"/>
              </w:rPr>
            </w:pPr>
          </w:p>
        </w:tc>
        <w:tc>
          <w:tcPr>
            <w:tcW w:w="2420" w:type="dxa"/>
            <w:vAlign w:val="bottom"/>
            <w:gridSpan w:val="2"/>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412"/>
        </w:trPr>
        <w:tc>
          <w:tcPr>
            <w:tcW w:w="10620" w:type="dxa"/>
            <w:vAlign w:val="bottom"/>
            <w:gridSpan w:val="22"/>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2. Management’s Discussion and Analysis of Financial Condition and Results of Operations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412"/>
        </w:trPr>
        <w:tc>
          <w:tcPr>
            <w:tcW w:w="5340" w:type="dxa"/>
            <w:vAlign w:val="bottom"/>
            <w:tcBorders>
              <w:top w:val="single" w:sz="8" w:color="0000EE"/>
              <w:bottom w:val="single" w:sz="8" w:color="0000EE"/>
            </w:tcBorders>
            <w:gridSpan w:val="17"/>
          </w:tcPr>
          <w:p>
            <w:pPr>
              <w:spacing w:after="0"/>
              <w:rPr>
                <w:rFonts w:ascii="Arial" w:cs="Arial" w:eastAsia="Arial" w:hAnsi="Arial"/>
                <w:sz w:val="18"/>
                <w:szCs w:val="18"/>
                <w:b w:val="1"/>
                <w:bCs w:val="1"/>
                <w:color w:val="0000EE"/>
                <w:w w:val="92"/>
              </w:rPr>
            </w:pPr>
            <w:hyperlink w:anchor="page30">
              <w:r>
                <w:rPr>
                  <w:rFonts w:ascii="Arial" w:cs="Arial" w:eastAsia="Arial" w:hAnsi="Arial"/>
                  <w:sz w:val="18"/>
                  <w:szCs w:val="18"/>
                  <w:b w:val="1"/>
                  <w:bCs w:val="1"/>
                  <w:color w:val="0000EE"/>
                  <w:w w:val="92"/>
                </w:rPr>
                <w:t>ITEM 3. Quantitative and Qualitative Disclosures about Market Risk</w:t>
              </w:r>
            </w:hyperlink>
          </w:p>
        </w:tc>
        <w:tc>
          <w:tcPr>
            <w:tcW w:w="2200" w:type="dxa"/>
            <w:vAlign w:val="bottom"/>
            <w:tcBorders>
              <w:top w:val="single" w:sz="8" w:color="0000EE"/>
            </w:tcBorders>
            <w:gridSpan w:val="2"/>
          </w:tcPr>
          <w:p>
            <w:pPr>
              <w:spacing w:after="0"/>
              <w:rPr>
                <w:sz w:val="24"/>
                <w:szCs w:val="24"/>
                <w:color w:val="auto"/>
              </w:rPr>
            </w:pPr>
          </w:p>
        </w:tc>
        <w:tc>
          <w:tcPr>
            <w:tcW w:w="3080" w:type="dxa"/>
            <w:vAlign w:val="bottom"/>
            <w:gridSpan w:val="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412"/>
        </w:trPr>
        <w:tc>
          <w:tcPr>
            <w:tcW w:w="10620" w:type="dxa"/>
            <w:vAlign w:val="bottom"/>
            <w:gridSpan w:val="22"/>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4. Controls and Procedures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3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8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7840" w:type="dxa"/>
            <w:vAlign w:val="bottom"/>
            <w:gridSpan w:val="10"/>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412"/>
        </w:trPr>
        <w:tc>
          <w:tcPr>
            <w:tcW w:w="2120" w:type="dxa"/>
            <w:vAlign w:val="bottom"/>
            <w:tcBorders>
              <w:bottom w:val="single" w:sz="8" w:color="0000EE"/>
            </w:tcBorders>
            <w:gridSpan w:val="7"/>
          </w:tcPr>
          <w:p>
            <w:pPr>
              <w:spacing w:after="0"/>
              <w:rPr>
                <w:rFonts w:ascii="Arial" w:cs="Arial" w:eastAsia="Arial" w:hAnsi="Arial"/>
                <w:sz w:val="18"/>
                <w:szCs w:val="18"/>
                <w:b w:val="1"/>
                <w:bCs w:val="1"/>
                <w:color w:val="0000EE"/>
                <w:w w:val="92"/>
              </w:rPr>
            </w:pPr>
            <w:hyperlink w:anchor="page32">
              <w:r>
                <w:rPr>
                  <w:rFonts w:ascii="Arial" w:cs="Arial" w:eastAsia="Arial" w:hAnsi="Arial"/>
                  <w:sz w:val="18"/>
                  <w:szCs w:val="18"/>
                  <w:b w:val="1"/>
                  <w:bCs w:val="1"/>
                  <w:color w:val="0000EE"/>
                  <w:w w:val="92"/>
                </w:rPr>
                <w:t>ITEM 1. Legal Proceedings</w:t>
              </w:r>
            </w:hyperlink>
          </w:p>
        </w:tc>
        <w:tc>
          <w:tcPr>
            <w:tcW w:w="8500" w:type="dxa"/>
            <w:vAlign w:val="bottom"/>
            <w:gridSpan w:val="15"/>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412"/>
        </w:trPr>
        <w:tc>
          <w:tcPr>
            <w:tcW w:w="1820" w:type="dxa"/>
            <w:vAlign w:val="bottom"/>
            <w:tcBorders>
              <w:bottom w:val="single" w:sz="8" w:color="0000EE"/>
            </w:tcBorders>
            <w:gridSpan w:val="6"/>
          </w:tcPr>
          <w:p>
            <w:pPr>
              <w:spacing w:after="0"/>
              <w:rPr>
                <w:rFonts w:ascii="Arial" w:cs="Arial" w:eastAsia="Arial" w:hAnsi="Arial"/>
                <w:sz w:val="18"/>
                <w:szCs w:val="18"/>
                <w:b w:val="1"/>
                <w:bCs w:val="1"/>
                <w:color w:val="0000EE"/>
                <w:w w:val="95"/>
              </w:rPr>
            </w:pPr>
            <w:hyperlink w:anchor="page32">
              <w:r>
                <w:rPr>
                  <w:rFonts w:ascii="Arial" w:cs="Arial" w:eastAsia="Arial" w:hAnsi="Arial"/>
                  <w:sz w:val="18"/>
                  <w:szCs w:val="18"/>
                  <w:b w:val="1"/>
                  <w:bCs w:val="1"/>
                  <w:color w:val="0000EE"/>
                  <w:w w:val="95"/>
                </w:rPr>
                <w:t>ITEM 1A. Risk Factors</w:t>
              </w:r>
            </w:hyperlink>
          </w:p>
        </w:tc>
        <w:tc>
          <w:tcPr>
            <w:tcW w:w="8800" w:type="dxa"/>
            <w:vAlign w:val="bottom"/>
            <w:gridSpan w:val="16"/>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412"/>
        </w:trPr>
        <w:tc>
          <w:tcPr>
            <w:tcW w:w="10620" w:type="dxa"/>
            <w:vAlign w:val="bottom"/>
            <w:gridSpan w:val="22"/>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2. Unregistered Sales of Equity Securities and Use of Proceeds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412"/>
        </w:trPr>
        <w:tc>
          <w:tcPr>
            <w:tcW w:w="5280" w:type="dxa"/>
            <w:vAlign w:val="bottom"/>
            <w:tcBorders>
              <w:top w:val="single" w:sz="8" w:color="0000EE"/>
            </w:tcBorders>
            <w:gridSpan w:val="16"/>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3. Defaults upon Senior Securities</w:t>
              </w:r>
            </w:hyperlink>
          </w:p>
        </w:tc>
        <w:tc>
          <w:tcPr>
            <w:tcW w:w="5340" w:type="dxa"/>
            <w:vAlign w:val="bottom"/>
            <w:gridSpan w:val="6"/>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412"/>
        </w:trPr>
        <w:tc>
          <w:tcPr>
            <w:tcW w:w="252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91"/>
              </w:rPr>
            </w:pPr>
            <w:hyperlink w:anchor="page33">
              <w:r>
                <w:rPr>
                  <w:rFonts w:ascii="Arial" w:cs="Arial" w:eastAsia="Arial" w:hAnsi="Arial"/>
                  <w:sz w:val="18"/>
                  <w:szCs w:val="18"/>
                  <w:b w:val="1"/>
                  <w:bCs w:val="1"/>
                  <w:color w:val="0000EE"/>
                  <w:w w:val="91"/>
                </w:rPr>
                <w:t xml:space="preserve">ITEM 4. </w:t>
              </w:r>
              <w:r>
                <w:rPr>
                  <w:rFonts w:ascii="Arial" w:cs="Arial" w:eastAsia="Arial" w:hAnsi="Arial"/>
                  <w:sz w:val="18"/>
                  <w:szCs w:val="18"/>
                  <w:i w:val="1"/>
                  <w:iCs w:val="1"/>
                  <w:color w:val="0000EE"/>
                  <w:w w:val="91"/>
                </w:rPr>
                <w:t>(Removed and Reserved)</w:t>
              </w:r>
            </w:hyperlink>
          </w:p>
        </w:tc>
        <w:tc>
          <w:tcPr>
            <w:tcW w:w="600" w:type="dxa"/>
            <w:vAlign w:val="bottom"/>
            <w:tcBorders>
              <w:top w:val="single" w:sz="8" w:color="0000EE"/>
            </w:tcBorders>
            <w:gridSpan w:val="4"/>
          </w:tcPr>
          <w:p>
            <w:pPr>
              <w:spacing w:after="0"/>
              <w:rPr>
                <w:sz w:val="24"/>
                <w:szCs w:val="24"/>
                <w:color w:val="auto"/>
              </w:rPr>
            </w:pPr>
          </w:p>
        </w:tc>
        <w:tc>
          <w:tcPr>
            <w:tcW w:w="7500" w:type="dxa"/>
            <w:vAlign w:val="bottom"/>
            <w:gridSpan w:val="8"/>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412"/>
        </w:trPr>
        <w:tc>
          <w:tcPr>
            <w:tcW w:w="2160" w:type="dxa"/>
            <w:vAlign w:val="bottom"/>
            <w:tcBorders>
              <w:bottom w:val="single" w:sz="8" w:color="0000EE"/>
            </w:tcBorders>
            <w:gridSpan w:val="8"/>
          </w:tcPr>
          <w:p>
            <w:pPr>
              <w:spacing w:after="0"/>
              <w:rPr>
                <w:rFonts w:ascii="Arial" w:cs="Arial" w:eastAsia="Arial" w:hAnsi="Arial"/>
                <w:sz w:val="18"/>
                <w:szCs w:val="18"/>
                <w:b w:val="1"/>
                <w:bCs w:val="1"/>
                <w:color w:val="0000EE"/>
                <w:w w:val="97"/>
              </w:rPr>
            </w:pPr>
            <w:hyperlink w:anchor="page33">
              <w:r>
                <w:rPr>
                  <w:rFonts w:ascii="Arial" w:cs="Arial" w:eastAsia="Arial" w:hAnsi="Arial"/>
                  <w:sz w:val="18"/>
                  <w:szCs w:val="18"/>
                  <w:b w:val="1"/>
                  <w:bCs w:val="1"/>
                  <w:color w:val="0000EE"/>
                  <w:w w:val="97"/>
                </w:rPr>
                <w:t>ITEM 5. Other Information</w:t>
              </w:r>
            </w:hyperlink>
          </w:p>
        </w:tc>
        <w:tc>
          <w:tcPr>
            <w:tcW w:w="8460" w:type="dxa"/>
            <w:vAlign w:val="bottom"/>
            <w:gridSpan w:val="14"/>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412"/>
        </w:trPr>
        <w:tc>
          <w:tcPr>
            <w:tcW w:w="1360" w:type="dxa"/>
            <w:vAlign w:val="bottom"/>
            <w:tcBorders>
              <w:bottom w:val="single" w:sz="8" w:color="0000EE"/>
            </w:tcBorders>
            <w:gridSpan w:val="5"/>
          </w:tcPr>
          <w:p>
            <w:pPr>
              <w:spacing w:after="0"/>
              <w:rPr>
                <w:rFonts w:ascii="Arial" w:cs="Arial" w:eastAsia="Arial" w:hAnsi="Arial"/>
                <w:sz w:val="18"/>
                <w:szCs w:val="18"/>
                <w:b w:val="1"/>
                <w:bCs w:val="1"/>
                <w:color w:val="0000EE"/>
                <w:w w:val="97"/>
              </w:rPr>
            </w:pPr>
            <w:hyperlink w:anchor="page33">
              <w:r>
                <w:rPr>
                  <w:rFonts w:ascii="Arial" w:cs="Arial" w:eastAsia="Arial" w:hAnsi="Arial"/>
                  <w:sz w:val="18"/>
                  <w:szCs w:val="18"/>
                  <w:b w:val="1"/>
                  <w:bCs w:val="1"/>
                  <w:color w:val="0000EE"/>
                  <w:w w:val="97"/>
                </w:rPr>
                <w:t>ITEM 6. Exhibits</w:t>
              </w:r>
            </w:hyperlink>
          </w:p>
        </w:tc>
        <w:tc>
          <w:tcPr>
            <w:tcW w:w="9260" w:type="dxa"/>
            <w:vAlign w:val="bottom"/>
            <w:gridSpan w:val="17"/>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Signatures</w:t>
              </w:r>
            </w:hyperlink>
          </w:p>
        </w:tc>
        <w:tc>
          <w:tcPr>
            <w:tcW w:w="9640" w:type="dxa"/>
            <w:vAlign w:val="bottom"/>
            <w:gridSpan w:val="18"/>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EX-10.1</w:t>
            </w:r>
          </w:p>
        </w:tc>
        <w:tc>
          <w:tcPr>
            <w:tcW w:w="9960" w:type="dxa"/>
            <w:vAlign w:val="bottom"/>
            <w:gridSpan w:val="19"/>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380" w:type="dxa"/>
            <w:vAlign w:val="bottom"/>
            <w:tcBorders>
              <w:top w:val="single" w:sz="8" w:color="auto"/>
            </w:tcBorders>
            <w:gridSpan w:val="3"/>
          </w:tcPr>
          <w:p>
            <w:pPr>
              <w:jc w:val="right"/>
              <w:ind w:right="700"/>
              <w:spacing w:after="0" w:line="119" w:lineRule="exact"/>
              <w:rPr>
                <w:sz w:val="20"/>
                <w:szCs w:val="20"/>
                <w:color w:val="auto"/>
              </w:rPr>
            </w:pPr>
            <w:r>
              <w:rPr>
                <w:rFonts w:ascii="Arial" w:cs="Arial" w:eastAsia="Arial" w:hAnsi="Arial"/>
                <w:sz w:val="13"/>
                <w:szCs w:val="13"/>
                <w:b w:val="1"/>
                <w:bCs w:val="1"/>
                <w:color w:val="auto"/>
              </w:rPr>
              <w:t>October 1,</w:t>
            </w:r>
          </w:p>
        </w:tc>
        <w:tc>
          <w:tcPr>
            <w:tcW w:w="7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October 2,</w:t>
            </w:r>
          </w:p>
        </w:tc>
        <w:tc>
          <w:tcPr>
            <w:tcW w:w="680" w:type="dxa"/>
            <w:vAlign w:val="bottom"/>
          </w:tcPr>
          <w:p>
            <w:pPr>
              <w:spacing w:after="0"/>
              <w:rPr>
                <w:sz w:val="10"/>
                <w:szCs w:val="10"/>
                <w:color w:val="auto"/>
              </w:rPr>
            </w:pPr>
          </w:p>
        </w:tc>
        <w:tc>
          <w:tcPr>
            <w:tcW w:w="10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October 1,</w:t>
            </w:r>
          </w:p>
        </w:tc>
        <w:tc>
          <w:tcPr>
            <w:tcW w:w="3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October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179,445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166,833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350,014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329,872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Cost of goods sold</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89,496</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79,078</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171,316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155,655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89,949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87,755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178,698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174,217</w:t>
            </w:r>
          </w:p>
        </w:tc>
        <w:tc>
          <w:tcPr>
            <w:tcW w:w="0" w:type="dxa"/>
            <w:vAlign w:val="bottom"/>
          </w:tcPr>
          <w:p>
            <w:pPr>
              <w:spacing w:after="0"/>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10,350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7,954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62,613</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52,790</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118,844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107,144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income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71,383</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58,850</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136,223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18,566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28,905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42,475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53,092</w:t>
            </w:r>
          </w:p>
        </w:tc>
        <w:tc>
          <w:tcPr>
            <w:tcW w:w="0" w:type="dxa"/>
            <w:vAlign w:val="bottom"/>
          </w:tcPr>
          <w:p>
            <w:pPr>
              <w:spacing w:after="0"/>
              <w:rPr>
                <w:sz w:val="1"/>
                <w:szCs w:val="1"/>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19,011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29,159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42,705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53,534</w:t>
            </w:r>
          </w:p>
        </w:tc>
        <w:tc>
          <w:tcPr>
            <w:tcW w:w="0" w:type="dxa"/>
            <w:vAlign w:val="bottom"/>
          </w:tcPr>
          <w:p>
            <w:pPr>
              <w:spacing w:after="0"/>
              <w:rPr>
                <w:sz w:val="1"/>
                <w:szCs w:val="1"/>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7,821</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11,877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14,277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13,880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21,338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30,828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39,257</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income per common share</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Income per common share assuming dilution</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25,418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24,686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Diluted</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25,843</w:t>
            </w: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25,228</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26,029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25,459</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October 1, 2011</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rPr>
              <w:t>April 2,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0"/>
              <w:spacing w:after="0" w:line="142" w:lineRule="exact"/>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183,421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Accounts receivable, less allowance of $2,283 at October 1, 2011 and $1,799 at April 2, 2011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129,242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127,166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101,444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Deferred tax asset,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9,790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441,100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448,831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Land, building, and building improvements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55,127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Plant equipment and machinery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132,124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Office equipment and information technology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85,347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Haemonetics equipment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217,471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Total property, plant and equipment</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490,069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(333,203)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(320,156)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00"/>
              <w:spacing w:after="0"/>
              <w:rPr>
                <w:sz w:val="20"/>
                <w:szCs w:val="20"/>
                <w:color w:val="auto"/>
              </w:rPr>
            </w:pPr>
            <w:r>
              <w:rPr>
                <w:rFonts w:ascii="Arial" w:cs="Arial" w:eastAsia="Arial" w:hAnsi="Arial"/>
                <w:sz w:val="18"/>
                <w:szCs w:val="18"/>
                <w:b w:val="1"/>
                <w:bCs w:val="1"/>
                <w:color w:val="auto"/>
              </w:rPr>
              <w:t>Net property, plant and equipment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156,866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Intangible assets, less amortization of $49,320 at October 1, 2011 and $43,827 at April 2, 2011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98,847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115,582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Deferred tax asset, long term</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1,353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9,974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00"/>
              <w:spacing w:after="0"/>
              <w:rPr>
                <w:sz w:val="20"/>
                <w:szCs w:val="20"/>
                <w:color w:val="auto"/>
              </w:rPr>
            </w:pPr>
            <w:r>
              <w:rPr>
                <w:rFonts w:ascii="Arial" w:cs="Arial" w:eastAsia="Arial" w:hAnsi="Arial"/>
                <w:sz w:val="18"/>
                <w:szCs w:val="18"/>
                <w:b w:val="1"/>
                <w:bCs w:val="1"/>
                <w:color w:val="auto"/>
              </w:rPr>
              <w:t>Total other assets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225,756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823,722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833,264</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Notes payable and current maturities of long-term debt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3,080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Accrued payroll and related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26,780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Deferred tax liability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45,703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46,256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110,806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Long-term deferred tax liability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18,005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15,822</w:t>
            </w:r>
          </w:p>
        </w:tc>
        <w:tc>
          <w:tcPr>
            <w:tcW w:w="0" w:type="dxa"/>
            <w:vAlign w:val="bottom"/>
          </w:tcPr>
          <w:p>
            <w:pPr>
              <w:spacing w:after="0"/>
              <w:rPr>
                <w:sz w:val="1"/>
                <w:szCs w:val="1"/>
                <w:color w:val="auto"/>
              </w:rPr>
            </w:pPr>
          </w:p>
        </w:tc>
      </w:tr>
      <w:tr>
        <w:trPr>
          <w:trHeight w:val="432"/>
        </w:trPr>
        <w:tc>
          <w:tcPr>
            <w:tcW w:w="86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200"/>
              <w:spacing w:after="0" w:line="201" w:lineRule="exact"/>
              <w:rPr>
                <w:sz w:val="20"/>
                <w:szCs w:val="20"/>
                <w:color w:val="auto"/>
              </w:rPr>
            </w:pPr>
            <w:r>
              <w:rPr>
                <w:rFonts w:ascii="Arial" w:cs="Arial" w:eastAsia="Arial" w:hAnsi="Arial"/>
                <w:sz w:val="18"/>
                <w:szCs w:val="18"/>
                <w:color w:val="auto"/>
                <w:w w:val="92"/>
              </w:rPr>
              <w:t>Common stock, $.01 par value; Authorized — 150,000,000 shares; Issued and outstanding — 24,981,455 shares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at October 1, 2011 and 25,660,393 shares at April 2, 2011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249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304,517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364,726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373,630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0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678,277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686,136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 and stockholders’ equity</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823,722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10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October 1,</w:t>
            </w:r>
          </w:p>
        </w:tc>
        <w:tc>
          <w:tcPr>
            <w:tcW w:w="3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October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30,828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Non cash items: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24,619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Stock compensation expense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4,701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sales of property, plant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Unrealized loss from hedging activities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Contingent consideration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Reversal of interest expense on contingent consideration</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(574)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operating assets and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Increase in accounts receivable, net</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inventories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(15,390)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Decrease in prepaid income taxes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12,283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other assets and other long-term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Tax benefit of exercise of stock options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accounts payable and accrued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(22,143)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52,539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Capital expenditures on property, plant and equipment</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(23,843)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(23,713)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Payments on long-term real estate mortgage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increase/(decrease) in short-term loans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Employee stock purchase plan</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1,847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Excess tax benefit on exercise of stock options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repurchase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(49,998)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(41,753)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(47,301)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(13,286)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196,707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141,562</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183,421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115,049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Transfers from inventory to fixed assets for placements of Haemonetics equipment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6,292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accruals) considered necessary for a fair presentation have been included. All significant intercompany transactions have been eliminated. Certain reclassifications were made to prior year balances to conform to the presentation of the financial statements for the six months ended October 1, 2011. Operating results for the six month period ended October 1, 2011 are not necessarily indicative of the results that may be expected for the full fiscal year ending March 31, 2012, or any other interim period. These unaudited consolidated financial statements should be read in conjunction with our audited consolidated financial statements and footnotes included in our annual report on Form 10-K for the fiscal year ended April 2, 2011.</w:t>
      </w:r>
    </w:p>
    <w:p>
      <w:pPr>
        <w:spacing w:after="0" w:line="5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and these financial statements reflect those material items that arose after the balance sheet date but prior to the issuance of the financial statements that would be considered recognized subsequent events. There were no material recognized subsequent events recorded in the October 1, 2011 consolidated financial statements.</w:t>
      </w:r>
    </w:p>
    <w:p>
      <w:pPr>
        <w:spacing w:after="0" w:line="4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fiscal year ends on the Saturday closest to the last day of March. Fiscal years 2012 and 2011 include 52 weeks with all four quarters each having 13 weeks.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May 2011, the FASB issued Accounting Standards Update No. 2011-04, </w:t>
      </w:r>
      <w:r>
        <w:rPr>
          <w:rFonts w:ascii="Arial" w:cs="Arial" w:eastAsia="Arial" w:hAnsi="Arial"/>
          <w:sz w:val="16"/>
          <w:szCs w:val="16"/>
          <w:i w:val="1"/>
          <w:iCs w:val="1"/>
          <w:color w:val="auto"/>
        </w:rPr>
        <w:t>Fair Value Measurement (Topic 820): Amendments to Achieve Common Fair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Value Measurement and Disclosure Requirements in U.S. GAAP and IFRSs. </w:t>
      </w:r>
      <w:r>
        <w:rPr>
          <w:rFonts w:ascii="Arial" w:cs="Arial" w:eastAsia="Arial" w:hAnsi="Arial"/>
          <w:sz w:val="17"/>
          <w:szCs w:val="17"/>
          <w:color w:val="auto"/>
        </w:rPr>
        <w:t>Update No. 2011-04 updates the accounting guidance related to fair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measurements that results in a consistent definition of fair value and common requirements for measurement of and disclosure about fair value between 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GAAP and International Financial Reporting Standards (IFRS). The updated guidance is effective for interim and annual periods beginning 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15, 2011. Early application is not permitted. We are currently evaluating the potential impact of Update No. 2011-04 on our consolidated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statements. This statement is effective for our fourth quarter of fiscal year 2012.</w:t>
      </w:r>
    </w:p>
    <w:p>
      <w:pPr>
        <w:spacing w:after="0" w:line="10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June 2011, the FASB issued Accounting Standards Update No. 2011-05, </w:t>
      </w:r>
      <w:r>
        <w:rPr>
          <w:rFonts w:ascii="Arial" w:cs="Arial" w:eastAsia="Arial" w:hAnsi="Arial"/>
          <w:sz w:val="17"/>
          <w:szCs w:val="17"/>
          <w:i w:val="1"/>
          <w:iCs w:val="1"/>
          <w:color w:val="auto"/>
        </w:rPr>
        <w:t>Comprehensive Income (Topic 220): Presentation of Comprehensive Income</w:t>
      </w:r>
      <w:r>
        <w:rPr>
          <w:rFonts w:ascii="Arial" w:cs="Arial" w:eastAsia="Arial" w:hAnsi="Arial"/>
          <w:sz w:val="17"/>
          <w:szCs w:val="17"/>
          <w:color w:val="auto"/>
        </w:rPr>
        <w:t>. Update No. 2011-05 updates the disclosure requirements for comprehensive income to include total comprehensive income, the components of net income, and the components of other comprehensive income either in a single continuous statement of comprehensive income or in two separate but consecutive statements. The updated guidance does not affect how earnings per share is calculated or presented. The updated guidance is effective for fiscal years, and interim periods within those years, beginning after December 15, 2011, and should be applied retrospectively. Early adoption is permitted and amendments do not require any transition disclosures. This statement is effective in our first quarter of fiscal year 2013.</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September 2011, the FASB issued Accounting Standards Update No. 2011-08,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ASU 2011-08 allows entities to first assess qualitatively whether it is necessary to perform the two-step goodwill impairment test. If an entity believes, as a result of its qualitative assessment, that it is more likely than not that the fair value of a reporting unit is less than its carrying amount, the quantitative two-step goodwill impairment test is required. An entity has the unconditional option to bypass the qualitative assessment and proceed directly to performing the first step of the goodwill impairment test. The Company anticipates that the adoption of this standard will not have a material impact on its consolidated financial statements and footnote disclosures.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October 2009, the FASB issued Accounting Standards Update No. 2009-13, </w:t>
      </w:r>
      <w:r>
        <w:rPr>
          <w:rFonts w:ascii="Arial" w:cs="Arial" w:eastAsia="Arial" w:hAnsi="Arial"/>
          <w:sz w:val="16"/>
          <w:szCs w:val="16"/>
          <w:i w:val="1"/>
          <w:iCs w:val="1"/>
          <w:color w:val="auto"/>
        </w:rPr>
        <w:t>Revenue Recognition (Topic 605): Multiple-Deliverable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Arrangements</w:t>
      </w:r>
      <w:r>
        <w:rPr>
          <w:rFonts w:ascii="Arial" w:cs="Arial" w:eastAsia="Arial" w:hAnsi="Arial"/>
          <w:sz w:val="16"/>
          <w:szCs w:val="16"/>
          <w:color w:val="auto"/>
        </w:rPr>
        <w:t>, and Accounting Standards Update No. 2009-14,</w:t>
      </w:r>
      <w:r>
        <w:rPr>
          <w:rFonts w:ascii="Arial" w:cs="Arial" w:eastAsia="Arial" w:hAnsi="Arial"/>
          <w:sz w:val="16"/>
          <w:szCs w:val="16"/>
          <w:i w:val="1"/>
          <w:iCs w:val="1"/>
          <w:color w:val="auto"/>
        </w:rPr>
        <w:t xml:space="preserve"> Software (Topic 985): Certain Revenue Arrangements That Include Software </w:t>
      </w:r>
      <w:r>
        <w:rPr>
          <w:rFonts w:ascii="Arial" w:cs="Arial" w:eastAsia="Arial" w:hAnsi="Arial"/>
          <w:sz w:val="16"/>
          <w:szCs w:val="16"/>
          <w:color w:val="auto"/>
        </w:rPr>
        <w:t>(the “Updates”).</w:t>
      </w:r>
      <w:r>
        <w:rPr>
          <w:rFonts w:ascii="Arial" w:cs="Arial" w:eastAsia="Arial" w:hAnsi="Arial"/>
          <w:sz w:val="16"/>
          <w:szCs w:val="16"/>
          <w:i w:val="1"/>
          <w:iCs w:val="1"/>
          <w:color w:val="auto"/>
        </w:rPr>
        <w:t xml:space="preserve"> </w:t>
      </w:r>
      <w:r>
        <w:rPr>
          <w:rFonts w:ascii="Arial" w:cs="Arial" w:eastAsia="Arial" w:hAnsi="Arial"/>
          <w:sz w:val="16"/>
          <w:szCs w:val="16"/>
          <w:color w:val="auto"/>
        </w:rPr>
        <w:t>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also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allocate arrangement consideration using the relative selling price method. The Updates also include new disclosure requirements on how the application of the relative selling price method affects the timing and amount of revenue recognition. On April 3, 2011, the Company adopted this guidance, which did not have a material impact on our financial position or results of operations.</w:t>
      </w:r>
    </w:p>
    <w:p>
      <w:pPr>
        <w:spacing w:after="0" w:line="6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December 2010, the FASB issued Accounting Standards Update No. 2010-29, </w:t>
      </w:r>
      <w:r>
        <w:rPr>
          <w:rFonts w:ascii="Arial" w:cs="Arial" w:eastAsia="Arial" w:hAnsi="Arial"/>
          <w:sz w:val="17"/>
          <w:szCs w:val="17"/>
          <w:i w:val="1"/>
          <w:iCs w:val="1"/>
          <w:color w:val="auto"/>
        </w:rPr>
        <w:t>Business Combinations (Topic 805): Disclosure of Supplementary Pro</w:t>
      </w:r>
      <w:r>
        <w:rPr>
          <w:rFonts w:ascii="Arial" w:cs="Arial" w:eastAsia="Arial" w:hAnsi="Arial"/>
          <w:sz w:val="17"/>
          <w:szCs w:val="17"/>
          <w:color w:val="auto"/>
        </w:rPr>
        <w:t xml:space="preserve"> </w:t>
      </w:r>
      <w:r>
        <w:rPr>
          <w:rFonts w:ascii="Arial" w:cs="Arial" w:eastAsia="Arial" w:hAnsi="Arial"/>
          <w:sz w:val="17"/>
          <w:szCs w:val="17"/>
          <w:i w:val="1"/>
          <w:iCs w:val="1"/>
          <w:color w:val="auto"/>
        </w:rPr>
        <w:t>Forma Information for Business Combinations</w:t>
      </w:r>
      <w:r>
        <w:rPr>
          <w:rFonts w:ascii="Arial" w:cs="Arial" w:eastAsia="Arial" w:hAnsi="Arial"/>
          <w:sz w:val="17"/>
          <w:szCs w:val="17"/>
          <w:color w:val="auto"/>
        </w:rPr>
        <w:t>. Update No. 2010-29 clarifies paragraph 805-10-50-2(h) to require public entities that enter into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combinations that are material on an individual or aggregate basis to disclose pro forma information for such business combinations that occurred in the current reporting period, including pro forma revenue and earnings of the combined entity as though the acquisition date had been as of the beginning of the comparable prior annual reporting period only. We did not complete any material business acquisitions during the six months ended October 1, 2011 thus the disclosure requirements were not applicable for the period.</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12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following table provides a reconciliation of the numerators and denominators of the basic and diluted earnings per share computations. Basic EPS is computed by dividing net income by weighted average shares outstanding. Diluted EPS includes the effect of potentially dilutive common shares.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left="394"/>
              <w:spacing w:after="0"/>
              <w:rPr>
                <w:sz w:val="20"/>
                <w:szCs w:val="20"/>
                <w:color w:val="auto"/>
              </w:rPr>
            </w:pPr>
            <w:r>
              <w:rPr>
                <w:rFonts w:ascii="Arial" w:cs="Arial" w:eastAsia="Arial" w:hAnsi="Arial"/>
                <w:sz w:val="14"/>
                <w:szCs w:val="14"/>
                <w:color w:val="auto"/>
                <w:w w:val="93"/>
              </w:rPr>
              <w:t>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color w:val="auto"/>
                <w:w w:val="91"/>
              </w:rPr>
              <w:t>October 1, 2011</w:t>
            </w:r>
          </w:p>
        </w:tc>
        <w:tc>
          <w:tcPr>
            <w:tcW w:w="740" w:type="dxa"/>
            <w:vAlign w:val="bottom"/>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October 2,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ind w:left="20"/>
              <w:spacing w:after="0" w:line="142" w:lineRule="exact"/>
              <w:rPr>
                <w:sz w:val="20"/>
                <w:szCs w:val="20"/>
                <w:color w:val="auto"/>
              </w:rPr>
            </w:pPr>
            <w:r>
              <w:rPr>
                <w:rFonts w:ascii="Arial" w:cs="Arial" w:eastAsia="Arial" w:hAnsi="Arial"/>
                <w:sz w:val="14"/>
                <w:szCs w:val="14"/>
                <w:color w:val="auto"/>
                <w:w w:val="90"/>
              </w:rPr>
              <w:t>(in thousands,</w:t>
            </w:r>
          </w:p>
        </w:tc>
        <w:tc>
          <w:tcPr>
            <w:tcW w:w="1660" w:type="dxa"/>
            <w:vAlign w:val="bottom"/>
            <w:gridSpan w:val="3"/>
          </w:tcPr>
          <w:p>
            <w:pPr>
              <w:jc w:val="right"/>
              <w:ind w:right="50"/>
              <w:spacing w:after="0" w:line="142" w:lineRule="exact"/>
              <w:rPr>
                <w:sz w:val="20"/>
                <w:szCs w:val="20"/>
                <w:color w:val="auto"/>
              </w:rPr>
            </w:pPr>
            <w:r>
              <w:rPr>
                <w:rFonts w:ascii="Arial" w:cs="Arial" w:eastAsia="Arial" w:hAnsi="Arial"/>
                <w:sz w:val="14"/>
                <w:szCs w:val="14"/>
                <w:color w:val="auto"/>
                <w:w w:val="90"/>
              </w:rPr>
              <w:t>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13,880</w:t>
            </w:r>
          </w:p>
        </w:tc>
        <w:tc>
          <w:tcPr>
            <w:tcW w:w="2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21,338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25,418</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24,686</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13,880</w:t>
            </w:r>
          </w:p>
        </w:tc>
        <w:tc>
          <w:tcPr>
            <w:tcW w:w="2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21,338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25,418</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effect of common stock equivalents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25,843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25,228</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0.54</w:t>
            </w:r>
          </w:p>
        </w:tc>
        <w:tc>
          <w:tcPr>
            <w:tcW w:w="2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center"/>
              <w:ind w:left="394"/>
              <w:spacing w:after="0"/>
              <w:rPr>
                <w:sz w:val="20"/>
                <w:szCs w:val="20"/>
                <w:color w:val="auto"/>
              </w:rPr>
            </w:pPr>
            <w:r>
              <w:rPr>
                <w:rFonts w:ascii="Arial" w:cs="Arial" w:eastAsia="Arial" w:hAnsi="Arial"/>
                <w:sz w:val="14"/>
                <w:szCs w:val="14"/>
                <w:color w:val="auto"/>
                <w:w w:val="93"/>
              </w:rPr>
              <w:t>Six Months Ended</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color w:val="auto"/>
                <w:w w:val="91"/>
              </w:rPr>
              <w:t>October 1, 2011</w:t>
            </w:r>
          </w:p>
        </w:tc>
        <w:tc>
          <w:tcPr>
            <w:tcW w:w="740" w:type="dxa"/>
            <w:vAlign w:val="bottom"/>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October 2,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ind w:left="20"/>
              <w:spacing w:after="0" w:line="142" w:lineRule="exact"/>
              <w:rPr>
                <w:sz w:val="20"/>
                <w:szCs w:val="20"/>
                <w:color w:val="auto"/>
              </w:rPr>
            </w:pPr>
            <w:r>
              <w:rPr>
                <w:rFonts w:ascii="Arial" w:cs="Arial" w:eastAsia="Arial" w:hAnsi="Arial"/>
                <w:sz w:val="14"/>
                <w:szCs w:val="14"/>
                <w:color w:val="auto"/>
                <w:w w:val="90"/>
              </w:rPr>
              <w:t>(in thousands,</w:t>
            </w:r>
          </w:p>
        </w:tc>
        <w:tc>
          <w:tcPr>
            <w:tcW w:w="1660" w:type="dxa"/>
            <w:vAlign w:val="bottom"/>
            <w:gridSpan w:val="3"/>
          </w:tcPr>
          <w:p>
            <w:pPr>
              <w:jc w:val="right"/>
              <w:ind w:right="50"/>
              <w:spacing w:after="0" w:line="142" w:lineRule="exact"/>
              <w:rPr>
                <w:sz w:val="20"/>
                <w:szCs w:val="20"/>
                <w:color w:val="auto"/>
              </w:rPr>
            </w:pPr>
            <w:r>
              <w:rPr>
                <w:rFonts w:ascii="Arial" w:cs="Arial" w:eastAsia="Arial" w:hAnsi="Arial"/>
                <w:sz w:val="14"/>
                <w:szCs w:val="14"/>
                <w:color w:val="auto"/>
                <w:w w:val="90"/>
              </w:rPr>
              <w:t>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30,828</w:t>
            </w:r>
          </w:p>
        </w:tc>
        <w:tc>
          <w:tcPr>
            <w:tcW w:w="2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39,257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25,575</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24,913</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30,828</w:t>
            </w:r>
          </w:p>
        </w:tc>
        <w:tc>
          <w:tcPr>
            <w:tcW w:w="2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39,257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25,575</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effect of common stock equivalents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26,029</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25,459</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Weighted average shares outstanding, assuming dilution, excludes the impact of 0.4 million and 1.1 million stock options for the second quarter of fiscal year 2012 and 2011, respectively, 0.4 million and 0.8 million stock options for the first six months of fiscal year 2012 and 2011, respectively, because these securities were anti-dilutive during the noted periods.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Stock-based compensation expense of $4.7 million and $4.1 million was recognized for the six months ended October 1, 2011 and October 2, 2010, respectively. The related income tax benefit recognized was $1.3 million for the six months ended October 1, 2011 and October 2, 2010.</w:t>
      </w:r>
    </w:p>
    <w:p>
      <w:pPr>
        <w:spacing w:after="0" w:line="1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weighted average fair value for our options granted in the first six months of fiscal year 2012 and 2011 was $18.27 and $16.89, respectively. The assumptions utilized for estimating the fair value of option grants during the periods presented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20" w:type="dxa"/>
            <w:vAlign w:val="bottom"/>
          </w:tcPr>
          <w:p>
            <w:pPr>
              <w:spacing w:after="0"/>
              <w:rPr>
                <w:sz w:val="14"/>
                <w:szCs w:val="14"/>
                <w:color w:val="auto"/>
              </w:rPr>
            </w:pPr>
          </w:p>
        </w:tc>
        <w:tc>
          <w:tcPr>
            <w:tcW w:w="2700" w:type="dxa"/>
            <w:vAlign w:val="bottom"/>
            <w:gridSpan w:val="4"/>
          </w:tcPr>
          <w:p>
            <w:pPr>
              <w:jc w:val="right"/>
              <w:ind w:right="900"/>
              <w:spacing w:after="0"/>
              <w:rPr>
                <w:sz w:val="20"/>
                <w:szCs w:val="20"/>
                <w:color w:val="auto"/>
              </w:rPr>
            </w:pPr>
            <w:r>
              <w:rPr>
                <w:rFonts w:ascii="Arial" w:cs="Arial" w:eastAsia="Arial" w:hAnsi="Arial"/>
                <w:sz w:val="14"/>
                <w:szCs w:val="14"/>
                <w:color w:val="auto"/>
              </w:rPr>
              <w:t>Six Months Ended</w:t>
            </w:r>
          </w:p>
        </w:tc>
      </w:tr>
      <w:tr>
        <w:trPr>
          <w:trHeight w:val="142"/>
        </w:trPr>
        <w:tc>
          <w:tcPr>
            <w:tcW w:w="8720" w:type="dxa"/>
            <w:vAlign w:val="bottom"/>
          </w:tcPr>
          <w:p>
            <w:pPr>
              <w:spacing w:after="0"/>
              <w:rPr>
                <w:sz w:val="12"/>
                <w:szCs w:val="12"/>
                <w:color w:val="auto"/>
              </w:rPr>
            </w:pPr>
          </w:p>
        </w:tc>
        <w:tc>
          <w:tcPr>
            <w:tcW w:w="162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color w:val="auto"/>
                <w:w w:val="89"/>
              </w:rPr>
              <w:t>October 1, 2011</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October 2, 2010</w:t>
            </w:r>
          </w:p>
        </w:tc>
        <w:tc>
          <w:tcPr>
            <w:tcW w:w="160" w:type="dxa"/>
            <w:vAlign w:val="bottom"/>
          </w:tcPr>
          <w:p>
            <w:pPr>
              <w:spacing w:after="0"/>
              <w:rPr>
                <w:sz w:val="12"/>
                <w:szCs w:val="12"/>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Black-Scholes assumptions (weighted average):</w:t>
            </w:r>
          </w:p>
        </w:tc>
        <w:tc>
          <w:tcPr>
            <w:tcW w:w="9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Volatility</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27.42%</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28.33%</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life (years)</w:t>
            </w: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1.60%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yield</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six months ended October 1, 2011 and October 2, 2010, there were 41,067 and 35,992 shares, respectively, purchased under the ESPP. They were purchased at $46.80 and $45.70 per share, respectively, under the ESPP.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PRODUCT WARRANTIES</w:t>
      </w:r>
    </w:p>
    <w:p>
      <w:pPr>
        <w:spacing w:after="0" w:line="121"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116"/>
              <w:spacing w:after="0"/>
              <w:rPr>
                <w:sz w:val="20"/>
                <w:szCs w:val="20"/>
                <w:color w:val="auto"/>
              </w:rPr>
            </w:pPr>
            <w:r>
              <w:rPr>
                <w:rFonts w:ascii="Arial" w:cs="Arial" w:eastAsia="Arial" w:hAnsi="Arial"/>
                <w:sz w:val="14"/>
                <w:szCs w:val="14"/>
                <w:color w:val="auto"/>
                <w:w w:val="95"/>
              </w:rPr>
              <w:t>Six Months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7"/>
              </w:rPr>
              <w:t>October 1, 2011</w:t>
            </w:r>
          </w:p>
        </w:tc>
        <w:tc>
          <w:tcPr>
            <w:tcW w:w="660" w:type="dxa"/>
            <w:vAlign w:val="bottom"/>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October 2, 2010</w:t>
            </w:r>
          </w:p>
        </w:tc>
        <w:tc>
          <w:tcPr>
            <w:tcW w:w="100" w:type="dxa"/>
            <w:vAlign w:val="bottom"/>
          </w:tcPr>
          <w:p>
            <w:pPr>
              <w:spacing w:after="0"/>
              <w:rPr>
                <w:sz w:val="12"/>
                <w:szCs w:val="12"/>
                <w:color w:val="auto"/>
              </w:rPr>
            </w:pPr>
          </w:p>
        </w:tc>
      </w:tr>
      <w:tr>
        <w:trPr>
          <w:trHeight w:val="142"/>
        </w:trPr>
        <w:tc>
          <w:tcPr>
            <w:tcW w:w="8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3"/>
          </w:tcPr>
          <w:p>
            <w:pPr>
              <w:jc w:val="center"/>
              <w:ind w:left="136"/>
              <w:spacing w:after="0" w:line="142" w:lineRule="exact"/>
              <w:rPr>
                <w:sz w:val="20"/>
                <w:szCs w:val="20"/>
                <w:color w:val="auto"/>
              </w:rPr>
            </w:pPr>
            <w:r>
              <w:rPr>
                <w:rFonts w:ascii="Arial" w:cs="Arial" w:eastAsia="Arial" w:hAnsi="Arial"/>
                <w:sz w:val="14"/>
                <w:szCs w:val="14"/>
                <w:color w:val="auto"/>
                <w:w w:val="92"/>
              </w:rPr>
              <w:t>(in 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Warranty accrual as of the beginning of the period</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Warranty provision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603</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Warranty spending</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(856)</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(940)</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Warranty accrual as of the end of the period</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6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COMPREHENSIVE INCOME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Comprehensive income is the total of net income and all other non-owner changes in stockholders’ equity. Other non-owner changes are primarily foreign currency translation, the change in our net minimum pension liability, and the changes in fair value of the effective portion of our outstanding cash flow hedge contracts.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other comprehensive income is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233"/>
              <w:spacing w:after="0"/>
              <w:rPr>
                <w:sz w:val="20"/>
                <w:szCs w:val="20"/>
                <w:color w:val="auto"/>
              </w:rPr>
            </w:pPr>
            <w:r>
              <w:rPr>
                <w:rFonts w:ascii="Arial" w:cs="Arial" w:eastAsia="Arial" w:hAnsi="Arial"/>
                <w:sz w:val="14"/>
                <w:szCs w:val="14"/>
                <w:color w:val="auto"/>
                <w:w w:val="93"/>
              </w:rPr>
              <w:t>Three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20" w:type="dxa"/>
            <w:vAlign w:val="bottom"/>
            <w:gridSpan w:val="3"/>
            <w:vMerge w:val="continue"/>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Arial" w:cs="Arial" w:eastAsia="Arial" w:hAnsi="Arial"/>
                <w:sz w:val="14"/>
                <w:szCs w:val="14"/>
                <w:color w:val="auto"/>
              </w:rPr>
              <w:t>October 1, 2011</w:t>
            </w:r>
          </w:p>
        </w:tc>
        <w:tc>
          <w:tcPr>
            <w:tcW w:w="920" w:type="dxa"/>
            <w:vAlign w:val="bottom"/>
            <w:gridSpan w:val="2"/>
          </w:tcPr>
          <w:p>
            <w:pPr>
              <w:spacing w:after="0" w:line="142" w:lineRule="exact"/>
              <w:rPr>
                <w:sz w:val="20"/>
                <w:szCs w:val="20"/>
                <w:color w:val="auto"/>
              </w:rPr>
            </w:pPr>
            <w:r>
              <w:rPr>
                <w:rFonts w:ascii="Arial" w:cs="Arial" w:eastAsia="Arial" w:hAnsi="Arial"/>
                <w:sz w:val="14"/>
                <w:szCs w:val="14"/>
                <w:color w:val="auto"/>
                <w:w w:val="89"/>
              </w:rPr>
              <w:t>October 2,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13,880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21,338</w:t>
            </w: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change in minimum pension liability, net of tax</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20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(2,447)</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Unrealized loss on cash flow hedges, net of tax</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(1,566)</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200"/>
              <w:spacing w:after="0"/>
              <w:rPr>
                <w:sz w:val="20"/>
                <w:szCs w:val="20"/>
                <w:color w:val="auto"/>
              </w:rPr>
            </w:pPr>
            <w:r>
              <w:rPr>
                <w:rFonts w:ascii="Arial" w:cs="Arial" w:eastAsia="Arial" w:hAnsi="Arial"/>
                <w:sz w:val="18"/>
                <w:szCs w:val="18"/>
                <w:color w:val="auto"/>
              </w:rPr>
              <w:t>Reclassifications into earnings of cash flow hedge losses, net of tax</w:t>
            </w:r>
          </w:p>
        </w:tc>
        <w:tc>
          <w:tcPr>
            <w:tcW w:w="2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1,259</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11,126</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233"/>
              <w:spacing w:after="0"/>
              <w:rPr>
                <w:sz w:val="20"/>
                <w:szCs w:val="20"/>
                <w:color w:val="auto"/>
              </w:rPr>
            </w:pPr>
            <w:r>
              <w:rPr>
                <w:rFonts w:ascii="Arial" w:cs="Arial" w:eastAsia="Arial" w:hAnsi="Arial"/>
                <w:sz w:val="14"/>
                <w:szCs w:val="14"/>
                <w:color w:val="auto"/>
                <w:w w:val="93"/>
              </w:rPr>
              <w:t>Six Months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20" w:type="dxa"/>
            <w:vAlign w:val="bottom"/>
            <w:gridSpan w:val="3"/>
            <w:vMerge w:val="continue"/>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Arial" w:cs="Arial" w:eastAsia="Arial" w:hAnsi="Arial"/>
                <w:sz w:val="14"/>
                <w:szCs w:val="14"/>
                <w:color w:val="auto"/>
              </w:rPr>
              <w:t>October 1, 2011</w:t>
            </w:r>
          </w:p>
        </w:tc>
        <w:tc>
          <w:tcPr>
            <w:tcW w:w="920" w:type="dxa"/>
            <w:vAlign w:val="bottom"/>
            <w:gridSpan w:val="2"/>
          </w:tcPr>
          <w:p>
            <w:pPr>
              <w:spacing w:after="0" w:line="142" w:lineRule="exact"/>
              <w:rPr>
                <w:sz w:val="20"/>
                <w:szCs w:val="20"/>
                <w:color w:val="auto"/>
              </w:rPr>
            </w:pPr>
            <w:r>
              <w:rPr>
                <w:rFonts w:ascii="Arial" w:cs="Arial" w:eastAsia="Arial" w:hAnsi="Arial"/>
                <w:sz w:val="14"/>
                <w:szCs w:val="14"/>
                <w:color w:val="auto"/>
                <w:w w:val="89"/>
              </w:rPr>
              <w:t>October 2,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30,828</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39,257</w:t>
            </w: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change in minimum pension liability, net of tax</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20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(742)</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Unrealized loss on cash flow hedges, net of tax</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(2,889)</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200"/>
              <w:spacing w:after="0"/>
              <w:rPr>
                <w:sz w:val="20"/>
                <w:szCs w:val="20"/>
                <w:color w:val="auto"/>
              </w:rPr>
            </w:pPr>
            <w:r>
              <w:rPr>
                <w:rFonts w:ascii="Arial" w:cs="Arial" w:eastAsia="Arial" w:hAnsi="Arial"/>
                <w:sz w:val="18"/>
                <w:szCs w:val="18"/>
                <w:color w:val="auto"/>
              </w:rPr>
              <w:t>Reclassifications into earnings of cash flow hedge losses, net of tax</w:t>
            </w:r>
          </w:p>
        </w:tc>
        <w:tc>
          <w:tcPr>
            <w:tcW w:w="2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2,896</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30,072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98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Arial" w:cs="Arial" w:eastAsia="Arial" w:hAnsi="Arial"/>
                <w:sz w:val="14"/>
                <w:szCs w:val="14"/>
                <w:color w:val="auto"/>
              </w:rPr>
              <w:t>October 1, 2011</w:t>
            </w:r>
          </w:p>
        </w:tc>
        <w:tc>
          <w:tcPr>
            <w:tcW w:w="860" w:type="dxa"/>
            <w:vAlign w:val="bottom"/>
            <w:gridSpan w:val="3"/>
          </w:tcPr>
          <w:p>
            <w:pPr>
              <w:spacing w:after="0"/>
              <w:rPr>
                <w:sz w:val="20"/>
                <w:szCs w:val="20"/>
                <w:color w:val="auto"/>
              </w:rPr>
            </w:pPr>
            <w:r>
              <w:rPr>
                <w:rFonts w:ascii="Arial" w:cs="Arial" w:eastAsia="Arial" w:hAnsi="Arial"/>
                <w:sz w:val="14"/>
                <w:szCs w:val="14"/>
                <w:color w:val="auto"/>
              </w:rPr>
              <w:t>April 2, 2011</w:t>
            </w:r>
          </w:p>
        </w:tc>
      </w:tr>
      <w:tr>
        <w:trPr>
          <w:trHeight w:val="142"/>
        </w:trPr>
        <w:tc>
          <w:tcPr>
            <w:tcW w:w="89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20" w:type="dxa"/>
            <w:vAlign w:val="bottom"/>
          </w:tcPr>
          <w:p>
            <w:pPr>
              <w:spacing w:after="0"/>
              <w:rPr>
                <w:sz w:val="12"/>
                <w:szCs w:val="12"/>
                <w:color w:val="auto"/>
              </w:rPr>
            </w:pPr>
          </w:p>
        </w:tc>
        <w:tc>
          <w:tcPr>
            <w:tcW w:w="640" w:type="dxa"/>
            <w:vAlign w:val="bottom"/>
          </w:tcPr>
          <w:p>
            <w:pPr>
              <w:spacing w:after="0" w:line="142" w:lineRule="exact"/>
              <w:rPr>
                <w:sz w:val="20"/>
                <w:szCs w:val="20"/>
                <w:color w:val="auto"/>
              </w:rPr>
            </w:pPr>
            <w:r>
              <w:rPr>
                <w:rFonts w:ascii="Arial" w:cs="Arial" w:eastAsia="Arial" w:hAnsi="Arial"/>
                <w:sz w:val="14"/>
                <w:szCs w:val="14"/>
                <w:color w:val="auto"/>
                <w:w w:val="89"/>
              </w:rPr>
              <w:t>thousands)</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35,333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26,404</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4,301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4,352</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61,810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53,631</w:t>
            </w:r>
          </w:p>
        </w:tc>
      </w:tr>
      <w:tr>
        <w:trPr>
          <w:trHeight w:val="223"/>
        </w:trPr>
        <w:tc>
          <w:tcPr>
            <w:tcW w:w="89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101,444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84,387</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AND FAIR VALUE MEASUREMENTS</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manufacture, market and sell our products globally. For the six months ended October 1, 2011, approximately 51% of our sales are generated outside the U.S. generally in local currencies. We also incur certain manufacturing, marketing and selling costs in international markets in local currency. Accordingly, our earnings and cash flows are exposed to market risk from changes in foreign currency exchange rates relative to the U.S. dollar, our reporting currency.</w:t>
      </w:r>
    </w:p>
    <w:p>
      <w:pPr>
        <w:spacing w:after="0" w:line="3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British Pound Sterling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Designated Foreign Currency Hedge Contracts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All of our designated foreign currency hedge contracts as of October 1, 2011 and April 2, 2011 were cash flow hedges under ASC Topic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r>
        <w:rPr>
          <w:rFonts w:ascii="Arial" w:cs="Arial" w:eastAsia="Arial" w:hAnsi="Arial"/>
          <w:sz w:val="18"/>
          <w:szCs w:val="18"/>
          <w:color w:val="auto"/>
        </w:rPr>
        <w:t>. We record the effective portion of any change in the fair value of designated foreign currency hedge contracts in Other Comprehensive Income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Statement of Stockholders’ Equity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$153.6 million as of October 1, 2011 and $154.8 million as of April 2, 2011.</w:t>
      </w:r>
    </w:p>
    <w:p>
      <w:pPr>
        <w:spacing w:after="0" w:line="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During the six months ended October 1, 2011, we recognized net losses of $2.9 million in earnings on our cash flow hedges. For the six months ended October 1, 2011, $2.9 million of losses, net of tax, were recorded in Accumulated Other Comprehensive Income to recognize the effective portion of the fair value of any designated foreign currency hedge contracts that are, or previously were, designated as foreign currency cash flow hedges, as compared to net losses of $4.1 million as of October 2, 2010. At October 1, 2011, losses of $2.9 million, net of tax, may be reclassified to earnings within the next twelve months. All currency cash flow hedges outstanding as of October 1, 2011 mature within twelve months.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Foreign Currency Contracts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$48.2 million as of October 1, 2011 and $45.9 million as of April 2, 2011.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effect of our derivative instruments designated as cash flow hedges and those not designated as hedging instruments under ASC Topic 815 in our consolidated statement of income for the six months ended October 1, 2011.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339"/>
              <w:spacing w:after="0"/>
              <w:rPr>
                <w:sz w:val="20"/>
                <w:szCs w:val="20"/>
                <w:color w:val="auto"/>
              </w:rPr>
            </w:pPr>
            <w:r>
              <w:rPr>
                <w:rFonts w:ascii="Arial" w:cs="Arial" w:eastAsia="Arial" w:hAnsi="Arial"/>
                <w:sz w:val="14"/>
                <w:szCs w:val="14"/>
                <w:color w:val="auto"/>
                <w:w w:val="96"/>
              </w:rPr>
              <w:t>Amount of Loss</w:t>
            </w:r>
          </w:p>
        </w:tc>
        <w:tc>
          <w:tcPr>
            <w:tcW w:w="3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Reclassified</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Amount</w:t>
            </w:r>
          </w:p>
        </w:tc>
        <w:tc>
          <w:tcPr>
            <w:tcW w:w="1420" w:type="dxa"/>
            <w:vAlign w:val="bottom"/>
          </w:tcPr>
          <w:p>
            <w:pPr>
              <w:spacing w:after="0"/>
              <w:rPr>
                <w:sz w:val="14"/>
                <w:szCs w:val="14"/>
                <w:color w:val="auto"/>
              </w:rPr>
            </w:pPr>
          </w:p>
        </w:tc>
      </w:tr>
      <w:tr>
        <w:trPr>
          <w:trHeight w:val="149"/>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319"/>
              <w:spacing w:after="0" w:line="149" w:lineRule="exact"/>
              <w:rPr>
                <w:sz w:val="20"/>
                <w:szCs w:val="20"/>
                <w:color w:val="auto"/>
              </w:rPr>
            </w:pPr>
            <w:r>
              <w:rPr>
                <w:rFonts w:ascii="Arial" w:cs="Arial" w:eastAsia="Arial" w:hAnsi="Arial"/>
                <w:sz w:val="14"/>
                <w:szCs w:val="14"/>
                <w:color w:val="auto"/>
                <w:w w:val="91"/>
              </w:rPr>
              <w:t>Recognized</w:t>
            </w:r>
          </w:p>
        </w:tc>
        <w:tc>
          <w:tcPr>
            <w:tcW w:w="3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rPr>
              <w:t>from AOCI into</w:t>
            </w:r>
          </w:p>
        </w:tc>
        <w:tc>
          <w:tcPr>
            <w:tcW w:w="2460" w:type="dxa"/>
            <w:vAlign w:val="bottom"/>
          </w:tcPr>
          <w:p>
            <w:pPr>
              <w:jc w:val="center"/>
              <w:ind w:right="41"/>
              <w:spacing w:after="0" w:line="149" w:lineRule="exact"/>
              <w:rPr>
                <w:sz w:val="20"/>
                <w:szCs w:val="20"/>
                <w:color w:val="auto"/>
              </w:rPr>
            </w:pPr>
            <w:r>
              <w:rPr>
                <w:rFonts w:ascii="Arial" w:cs="Arial" w:eastAsia="Arial" w:hAnsi="Arial"/>
                <w:sz w:val="14"/>
                <w:szCs w:val="14"/>
                <w:color w:val="auto"/>
                <w:w w:val="97"/>
              </w:rPr>
              <w:t>Location in</w:t>
            </w:r>
          </w:p>
        </w:tc>
        <w:tc>
          <w:tcPr>
            <w:tcW w:w="12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Excluded from</w:t>
            </w:r>
          </w:p>
        </w:tc>
        <w:tc>
          <w:tcPr>
            <w:tcW w:w="1420" w:type="dxa"/>
            <w:vAlign w:val="bottom"/>
          </w:tcPr>
          <w:p>
            <w:pPr>
              <w:jc w:val="center"/>
              <w:ind w:left="201"/>
              <w:spacing w:after="0" w:line="149" w:lineRule="exact"/>
              <w:rPr>
                <w:sz w:val="20"/>
                <w:szCs w:val="20"/>
                <w:color w:val="auto"/>
              </w:rPr>
            </w:pPr>
            <w:r>
              <w:rPr>
                <w:rFonts w:ascii="Arial" w:cs="Arial" w:eastAsia="Arial" w:hAnsi="Arial"/>
                <w:sz w:val="14"/>
                <w:szCs w:val="14"/>
                <w:color w:val="auto"/>
                <w:w w:val="97"/>
              </w:rPr>
              <w:t>Location in</w:t>
            </w:r>
          </w:p>
        </w:tc>
      </w:tr>
      <w:tr>
        <w:trPr>
          <w:trHeight w:val="149"/>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339"/>
              <w:spacing w:after="0" w:line="149" w:lineRule="exact"/>
              <w:rPr>
                <w:sz w:val="20"/>
                <w:szCs w:val="20"/>
                <w:color w:val="auto"/>
              </w:rPr>
            </w:pPr>
            <w:r>
              <w:rPr>
                <w:rFonts w:ascii="Arial" w:cs="Arial" w:eastAsia="Arial" w:hAnsi="Arial"/>
                <w:sz w:val="14"/>
                <w:szCs w:val="14"/>
                <w:color w:val="auto"/>
              </w:rPr>
              <w:t>in AOCI</w:t>
            </w:r>
          </w:p>
        </w:tc>
        <w:tc>
          <w:tcPr>
            <w:tcW w:w="3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Earnings</w:t>
            </w:r>
          </w:p>
        </w:tc>
        <w:tc>
          <w:tcPr>
            <w:tcW w:w="2460" w:type="dxa"/>
            <w:vAlign w:val="bottom"/>
          </w:tcPr>
          <w:p>
            <w:pPr>
              <w:jc w:val="center"/>
              <w:ind w:right="41"/>
              <w:spacing w:after="0" w:line="149" w:lineRule="exact"/>
              <w:rPr>
                <w:sz w:val="20"/>
                <w:szCs w:val="20"/>
                <w:color w:val="auto"/>
              </w:rPr>
            </w:pPr>
            <w:r>
              <w:rPr>
                <w:rFonts w:ascii="Arial" w:cs="Arial" w:eastAsia="Arial" w:hAnsi="Arial"/>
                <w:sz w:val="14"/>
                <w:szCs w:val="14"/>
                <w:color w:val="auto"/>
                <w:w w:val="93"/>
              </w:rPr>
              <w:t>Statement of</w:t>
            </w:r>
          </w:p>
        </w:tc>
        <w:tc>
          <w:tcPr>
            <w:tcW w:w="10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Effectiveness</w:t>
            </w:r>
          </w:p>
        </w:tc>
        <w:tc>
          <w:tcPr>
            <w:tcW w:w="1420" w:type="dxa"/>
            <w:vAlign w:val="bottom"/>
          </w:tcPr>
          <w:p>
            <w:pPr>
              <w:jc w:val="center"/>
              <w:ind w:left="221"/>
              <w:spacing w:after="0" w:line="149" w:lineRule="exact"/>
              <w:rPr>
                <w:sz w:val="20"/>
                <w:szCs w:val="20"/>
                <w:color w:val="auto"/>
              </w:rPr>
            </w:pPr>
            <w:r>
              <w:rPr>
                <w:rFonts w:ascii="Arial" w:cs="Arial" w:eastAsia="Arial" w:hAnsi="Arial"/>
                <w:sz w:val="14"/>
                <w:szCs w:val="14"/>
                <w:color w:val="auto"/>
                <w:w w:val="90"/>
              </w:rPr>
              <w:t>Statement of</w:t>
            </w:r>
          </w:p>
        </w:tc>
      </w:tr>
      <w:tr>
        <w:trPr>
          <w:trHeight w:val="167"/>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Derivative Instruments</w:t>
            </w:r>
          </w:p>
        </w:tc>
        <w:tc>
          <w:tcPr>
            <w:tcW w:w="1500" w:type="dxa"/>
            <w:vAlign w:val="bottom"/>
            <w:tcBorders>
              <w:bottom w:val="single" w:sz="8" w:color="auto"/>
            </w:tcBorders>
            <w:gridSpan w:val="2"/>
          </w:tcPr>
          <w:p>
            <w:pPr>
              <w:jc w:val="center"/>
              <w:ind w:right="219"/>
              <w:spacing w:after="0"/>
              <w:rPr>
                <w:sz w:val="20"/>
                <w:szCs w:val="20"/>
                <w:color w:val="auto"/>
              </w:rPr>
            </w:pPr>
            <w:r>
              <w:rPr>
                <w:rFonts w:ascii="Arial" w:cs="Arial" w:eastAsia="Arial" w:hAnsi="Arial"/>
                <w:sz w:val="14"/>
                <w:szCs w:val="14"/>
                <w:color w:val="auto"/>
                <w:w w:val="97"/>
              </w:rPr>
              <w:t>(Effective Portion)</w:t>
            </w: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7"/>
              </w:rPr>
              <w:t>(Effective Portion)</w:t>
            </w:r>
          </w:p>
        </w:tc>
        <w:tc>
          <w:tcPr>
            <w:tcW w:w="24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90"/>
              </w:rPr>
              <w:t>Operations</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color w:val="auto"/>
                <w:w w:val="95"/>
              </w:rPr>
              <w:t>Testing (*)</w:t>
            </w:r>
          </w:p>
        </w:tc>
        <w:tc>
          <w:tcPr>
            <w:tcW w:w="1420" w:type="dxa"/>
            <w:vAlign w:val="bottom"/>
            <w:tcBorders>
              <w:bottom w:val="single" w:sz="8" w:color="auto"/>
            </w:tcBorders>
          </w:tcPr>
          <w:p>
            <w:pPr>
              <w:jc w:val="center"/>
              <w:ind w:left="221"/>
              <w:spacing w:after="0"/>
              <w:rPr>
                <w:sz w:val="20"/>
                <w:szCs w:val="20"/>
                <w:color w:val="auto"/>
              </w:rPr>
            </w:pPr>
            <w:r>
              <w:rPr>
                <w:rFonts w:ascii="Arial" w:cs="Arial" w:eastAsia="Arial" w:hAnsi="Arial"/>
                <w:sz w:val="14"/>
                <w:szCs w:val="14"/>
                <w:color w:val="auto"/>
                <w:w w:val="93"/>
              </w:rPr>
              <w:t>Operations</w:t>
            </w:r>
          </w:p>
        </w:tc>
      </w:tr>
      <w:tr>
        <w:trPr>
          <w:trHeight w:val="142"/>
        </w:trPr>
        <w:tc>
          <w:tcPr>
            <w:tcW w:w="3100" w:type="dxa"/>
            <w:vAlign w:val="bottom"/>
          </w:tcPr>
          <w:p>
            <w:pPr>
              <w:spacing w:after="0" w:line="142" w:lineRule="exact"/>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Designated foreign currency hedge</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6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Net revenues, COGS,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Other income</w:t>
            </w: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(2,889)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2,896</w:t>
            </w:r>
          </w:p>
        </w:tc>
        <w:tc>
          <w:tcPr>
            <w:tcW w:w="2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and SG&amp;A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w:t>
            </w:r>
          </w:p>
        </w:tc>
        <w:tc>
          <w:tcPr>
            <w:tcW w:w="1420" w:type="dxa"/>
            <w:vAlign w:val="bottom"/>
            <w:shd w:val="clear" w:color="auto" w:fill="CCEEFF"/>
          </w:tcPr>
          <w:p>
            <w:pPr>
              <w:spacing w:after="0"/>
              <w:rPr>
                <w:sz w:val="20"/>
                <w:szCs w:val="20"/>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Non-designated foreign currency</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ind w:left="300"/>
              <w:spacing w:after="0" w:line="201" w:lineRule="exact"/>
              <w:rPr>
                <w:sz w:val="20"/>
                <w:szCs w:val="20"/>
                <w:color w:val="auto"/>
              </w:rPr>
            </w:pPr>
            <w:r>
              <w:rPr>
                <w:rFonts w:ascii="Arial" w:cs="Arial" w:eastAsia="Arial" w:hAnsi="Arial"/>
                <w:sz w:val="18"/>
                <w:szCs w:val="18"/>
                <w:color w:val="auto"/>
                <w:w w:val="93"/>
              </w:rPr>
              <w:t>Other expense</w:t>
            </w:r>
          </w:p>
        </w:tc>
      </w:tr>
      <w:tr>
        <w:trPr>
          <w:trHeight w:val="237"/>
        </w:trPr>
        <w:tc>
          <w:tcPr>
            <w:tcW w:w="3100" w:type="dxa"/>
            <w:vAlign w:val="bottom"/>
          </w:tcPr>
          <w:p>
            <w:pPr>
              <w:ind w:left="220"/>
              <w:spacing w:after="0"/>
              <w:rPr>
                <w:sz w:val="20"/>
                <w:szCs w:val="20"/>
                <w:color w:val="auto"/>
              </w:rPr>
            </w:pPr>
            <w:r>
              <w:rPr>
                <w:rFonts w:ascii="Arial" w:cs="Arial" w:eastAsia="Arial" w:hAnsi="Arial"/>
                <w:sz w:val="18"/>
                <w:szCs w:val="18"/>
                <w:color w:val="auto"/>
              </w:rPr>
              <w:t>hedge contracts</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(2,889)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2,896</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1,837</w:t>
            </w:r>
          </w:p>
        </w:tc>
        <w:tc>
          <w:tcPr>
            <w:tcW w:w="1420" w:type="dxa"/>
            <w:vAlign w:val="bottom"/>
            <w:shd w:val="clear" w:color="auto" w:fill="CCEEFF"/>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3400" w:firstLine="8"/>
        <w:spacing w:after="0" w:line="422" w:lineRule="auto"/>
        <w:tabs>
          <w:tab w:leader="none" w:pos="342"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exclude the difference between the spot rate and hedge forward rate from our effectiveness testing. We did not have fair value hedges or net investment hedges outstanding as of October 1, 2011 or April 2, 2011.</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by considering the estimated amount we would receive or pay to sell or transfer these instruments at the reporting date and by taking into account current interest rates, currency exchange rates,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October 1, 2011, we have classified our derivative assets and liabilities within Level 2 of the fair value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hierarchy prescribed by ASC Topic 815, as discussed below, because these observable inputs are available for substantially the full term of our derivative instruments.</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October 1, 2011 by type of contract and whether it is a qualifying hedge under ASC Topic 815.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color w:val="auto"/>
                <w:w w:val="97"/>
              </w:rPr>
              <w:t>Location in</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3"/>
          </w:tcPr>
          <w:p>
            <w:pPr>
              <w:jc w:val="center"/>
              <w:ind w:right="1400"/>
              <w:spacing w:after="0"/>
              <w:rPr>
                <w:sz w:val="20"/>
                <w:szCs w:val="20"/>
                <w:color w:val="auto"/>
              </w:rPr>
            </w:pPr>
            <w:r>
              <w:rPr>
                <w:rFonts w:ascii="Arial" w:cs="Arial" w:eastAsia="Arial" w:hAnsi="Arial"/>
                <w:sz w:val="14"/>
                <w:szCs w:val="14"/>
                <w:color w:val="auto"/>
                <w:w w:val="91"/>
              </w:rPr>
              <w:t>Balance as of</w:t>
            </w:r>
          </w:p>
        </w:tc>
        <w:tc>
          <w:tcPr>
            <w:tcW w:w="12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Balance as of</w:t>
            </w:r>
          </w:p>
        </w:tc>
        <w:tc>
          <w:tcPr>
            <w:tcW w:w="0" w:type="dxa"/>
            <w:vAlign w:val="bottom"/>
          </w:tcPr>
          <w:p>
            <w:pPr>
              <w:spacing w:after="0"/>
              <w:rPr>
                <w:sz w:val="1"/>
                <w:szCs w:val="1"/>
                <w:color w:val="auto"/>
              </w:rPr>
            </w:pPr>
          </w:p>
        </w:tc>
      </w:tr>
      <w:tr>
        <w:trPr>
          <w:trHeight w:val="167"/>
        </w:trPr>
        <w:tc>
          <w:tcPr>
            <w:tcW w:w="3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color w:val="auto"/>
                <w:w w:val="90"/>
              </w:rPr>
              <w:t>Balance Sheet</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3"/>
          </w:tcPr>
          <w:p>
            <w:pPr>
              <w:jc w:val="center"/>
              <w:ind w:right="1420"/>
              <w:spacing w:after="0"/>
              <w:rPr>
                <w:sz w:val="20"/>
                <w:szCs w:val="20"/>
                <w:color w:val="auto"/>
              </w:rPr>
            </w:pPr>
            <w:r>
              <w:rPr>
                <w:rFonts w:ascii="Arial" w:cs="Arial" w:eastAsia="Arial" w:hAnsi="Arial"/>
                <w:sz w:val="14"/>
                <w:szCs w:val="14"/>
                <w:color w:val="auto"/>
                <w:w w:val="91"/>
              </w:rPr>
              <w:t>October 1, 2011</w:t>
            </w:r>
          </w:p>
        </w:tc>
        <w:tc>
          <w:tcPr>
            <w:tcW w:w="120" w:type="dxa"/>
            <w:vAlign w:val="bottom"/>
          </w:tcPr>
          <w:p>
            <w:pPr>
              <w:spacing w:after="0"/>
              <w:rPr>
                <w:sz w:val="14"/>
                <w:szCs w:val="14"/>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color w:val="auto"/>
              </w:rPr>
              <w:t>April 2,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580" w:type="dxa"/>
            <w:vAlign w:val="bottom"/>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w w:val="98"/>
              </w:rPr>
              <w:t>Designated foreign currency hedge contracts</w:t>
            </w:r>
          </w:p>
        </w:tc>
        <w:tc>
          <w:tcPr>
            <w:tcW w:w="58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Other current assets</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1,541</w:t>
            </w:r>
          </w:p>
        </w:tc>
        <w:tc>
          <w:tcPr>
            <w:tcW w:w="1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1,541</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8"/>
              </w:rPr>
              <w:t>Designated foreign currency hedge contracts</w:t>
            </w: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4,185</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4,185</w:t>
            </w:r>
          </w:p>
        </w:tc>
        <w:tc>
          <w:tcPr>
            <w:tcW w:w="20" w:type="dxa"/>
            <w:vAlign w:val="bottom"/>
            <w:tcBorders>
              <w:bottom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4,174</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Fair Value Measurements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establishes a framework for measuring fair value in accordance with U.S. GAAP, and expands disclosures about fair value measurements. ASC Topic 820 does not require any new fair value measurements; rather, it applies to other accounting pronouncements that require or permit fair value measurements. In accordance with ASC Topic 820, for the quarter and the six months ended October 1, 2011,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foreign currency hedge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spacing w:after="0" w:line="73" w:lineRule="exact"/>
        <w:rPr>
          <w:sz w:val="20"/>
          <w:szCs w:val="20"/>
          <w:color w:val="auto"/>
        </w:rPr>
      </w:pPr>
    </w:p>
    <w:p>
      <w:pPr>
        <w:ind w:left="800" w:hanging="454"/>
        <w:spacing w:after="0"/>
        <w:tabs>
          <w:tab w:leader="none" w:pos="8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130" w:lineRule="exact"/>
        <w:rPr>
          <w:rFonts w:ascii="Arial" w:cs="Arial" w:eastAsia="Arial" w:hAnsi="Arial"/>
          <w:sz w:val="18"/>
          <w:szCs w:val="18"/>
          <w:b w:val="1"/>
          <w:bCs w:val="1"/>
          <w:color w:val="auto"/>
        </w:rPr>
      </w:pPr>
    </w:p>
    <w:p>
      <w:pPr>
        <w:ind w:left="800" w:right="420" w:hanging="454"/>
        <w:spacing w:after="0" w:line="277" w:lineRule="auto"/>
        <w:tabs>
          <w:tab w:leader="none" w:pos="8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75" w:lineRule="exact"/>
        <w:rPr>
          <w:rFonts w:ascii="Arial" w:cs="Arial" w:eastAsia="Arial" w:hAnsi="Arial"/>
          <w:sz w:val="18"/>
          <w:szCs w:val="18"/>
          <w:b w:val="1"/>
          <w:bCs w:val="1"/>
          <w:color w:val="auto"/>
        </w:rPr>
      </w:pPr>
    </w:p>
    <w:p>
      <w:pPr>
        <w:ind w:left="800" w:right="100" w:hanging="454"/>
        <w:spacing w:after="0" w:line="277" w:lineRule="auto"/>
        <w:tabs>
          <w:tab w:leader="none" w:pos="8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14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We recognize all derivative financial instruments in our consolidated financial statements at fair value in accordance with ASC Topic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We determine the fair value of these instruments using the framework prescribed by ASC Topic 820 by considering the estimated amount we would</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or pay to terminate these agreements at the reporting date and by taking into account current spot rates, the creditworthiness of the counterparty for assets, and our creditworthiness for liabilities. We have classified our foreign currency hedge contracts within Level 2 of the fair value hierarchy because these observable inputs are available for substantially the full term of our derivative instruments. The fair value of our foreign currency hedge contracts is the estimated amount that the Company would receive or pay upon liquidation of the contracts, taking into account the change in currency exchange rates.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Measured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October 1, 2011: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9"/>
              </w:rPr>
              <w:t>Significant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color w:val="auto"/>
              </w:rPr>
              <w:t>Quoted Market</w:t>
            </w:r>
          </w:p>
        </w:tc>
        <w:tc>
          <w:tcPr>
            <w:tcW w:w="120" w:type="dxa"/>
            <w:vAlign w:val="bottom"/>
          </w:tcPr>
          <w:p>
            <w:pPr>
              <w:spacing w:after="0"/>
              <w:rPr>
                <w:sz w:val="12"/>
                <w:szCs w:val="12"/>
                <w:color w:val="auto"/>
              </w:rPr>
            </w:pPr>
          </w:p>
        </w:tc>
        <w:tc>
          <w:tcPr>
            <w:tcW w:w="560" w:type="dxa"/>
            <w:vAlign w:val="bottom"/>
          </w:tcPr>
          <w:p>
            <w:pPr>
              <w:jc w:val="center"/>
              <w:ind w:right="35"/>
              <w:spacing w:after="0" w:line="149" w:lineRule="exact"/>
              <w:rPr>
                <w:sz w:val="20"/>
                <w:szCs w:val="20"/>
                <w:color w:val="auto"/>
              </w:rPr>
            </w:pPr>
            <w:r>
              <w:rPr>
                <w:rFonts w:ascii="Arial" w:cs="Arial" w:eastAsia="Arial" w:hAnsi="Arial"/>
                <w:sz w:val="14"/>
                <w:szCs w:val="14"/>
                <w:color w:val="auto"/>
                <w:w w:val="91"/>
              </w:rPr>
              <w:t>Other</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9"/>
              </w:rPr>
              <w:t>Significant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Prices for</w:t>
            </w: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9"/>
              </w:rPr>
              <w:t>Observable</w:t>
            </w:r>
          </w:p>
        </w:tc>
        <w:tc>
          <w:tcPr>
            <w:tcW w:w="6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color w:val="auto"/>
              </w:rPr>
              <w:t>Unobservable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color w:val="auto"/>
              </w:rPr>
              <w:t>Identical Assets</w:t>
            </w:r>
          </w:p>
        </w:tc>
        <w:tc>
          <w:tcPr>
            <w:tcW w:w="120" w:type="dxa"/>
            <w:vAlign w:val="bottom"/>
          </w:tcPr>
          <w:p>
            <w:pPr>
              <w:spacing w:after="0"/>
              <w:rPr>
                <w:sz w:val="12"/>
                <w:szCs w:val="12"/>
                <w:color w:val="auto"/>
              </w:rPr>
            </w:pPr>
          </w:p>
        </w:tc>
        <w:tc>
          <w:tcPr>
            <w:tcW w:w="560" w:type="dxa"/>
            <w:vAlign w:val="bottom"/>
          </w:tcPr>
          <w:p>
            <w:pPr>
              <w:jc w:val="center"/>
              <w:ind w:right="35"/>
              <w:spacing w:after="0" w:line="149" w:lineRule="exact"/>
              <w:rPr>
                <w:sz w:val="20"/>
                <w:szCs w:val="20"/>
                <w:color w:val="auto"/>
              </w:rPr>
            </w:pPr>
            <w:r>
              <w:rPr>
                <w:rFonts w:ascii="Arial" w:cs="Arial" w:eastAsia="Arial" w:hAnsi="Arial"/>
                <w:sz w:val="14"/>
                <w:szCs w:val="14"/>
                <w:color w:val="auto"/>
                <w:w w:val="94"/>
              </w:rPr>
              <w:t>Inputs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Inputs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color w:val="auto"/>
              </w:rPr>
              <w:t>(Level 1)</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5"/>
              </w:rPr>
              <w:t>(Level 2)</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color w:val="auto"/>
                <w:w w:val="95"/>
              </w:rPr>
              <w:t>(Level 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143,035</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143,035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hedge contracts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143,035</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144,576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Foreign currency hedge contracts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4,185</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Release of Neoteric contingent consideration</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Under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we established a liability for payments that we might make in the future to former shareholders of Neoteric that are tied to the performance of the Blood Track business for the first three years post acquisition, beginning with fiscal year 2010. We have reviewed the expected performance versus the necessary thresholds of performance for the former shareholders to receive additional performance payments and we recorded an adjustment to the fair value of the contingent consideration as contingent consideration income of $1.6 million in the accompanying consolidated statements of income, reversing the remaining liability, as the expected performance thresholds will not be achieved.</w:t>
      </w:r>
    </w:p>
    <w:p>
      <w:pPr>
        <w:spacing w:after="0" w:line="6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September 2011, we entered into an agreement to release the Company from the contingent consideration due to the former shareholders of Neoteric. Under the terms of the agreement, the former shareholders of Neoteric received $0.7 million in exchange for releasing the Company from any future claims for contingent consideration. The Company paid the $0.7 million settlement amount during September 2011 and has recorded the associated expense in the selling, general and administrative line item in the accompanying consolidated statements of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real estate mortgage obligation was $3.7 million and $4.1 million at October 1, 2011 and April 2, 2011,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Company’s reported tax rate was 27.0% and 27.8% for the three and six month periods ended October 1, 2011, respectively. Our reported tax rate is lower than the federal statutory tax rate in both periods reported primarily due to lower foreign tax rates, including tax benefits associated with our Swiss operations.</w:t>
      </w:r>
    </w:p>
    <w:p>
      <w:pPr>
        <w:spacing w:after="0" w:line="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conduct business globally and, as a result, file consolidated federal, consolidated and separate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2007.</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first quarter of fiscal 2012, we received customer complaints in Europe regarding a quality issue with our High Separation Core Bowl (“HS Core”), a plasma disposable product used primarily to collect plasma for transfusion. Certain of these customers have also made claims regarding financial losses alleged to have been incurred as a result of this matter. Total aggregate claims submitted to date by customers relating to this issue are approximately $8.5 million. We do not expect any additional material claims from our customers. We are in the process of evaluating the submitted claims and continue to work with affected customers to minimize disruption to their operations and ultimately determine the validity and resolution of the submitted claims. Although this process is not completed, we have determined that it is probable that we will compensate certain affected customers in order to resolve their claims. We believe our ultimate liability will be less than the total claims submitted to date. Our current best estimate of the liability associated with this matter is $2.4 million, and accordingly we have recorded this amount as an expense within selling, general and administrative expenses as of October 1, 2011. We cannot determine currently whether a liability greater than $2.4 million will ultimately be incurred. We are also in the process of determining the extent to which claims may be recoverable under the Company’s insurance policies. We do not currently believe that liabilities related to this matter will materially affect our consolidated financial position and liquidity.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Definition Criteria</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blood management solutions. Our chief operating decision-maker uses consolidated results to make operating and strategic decisions. Manufacturing processes, as well as the regulatory environment in which we operate, are largely the same for all product 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Wide Disclosures about Product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four global product families: plasma, blood center, hospital, and software solutions.</w:t>
      </w:r>
    </w:p>
    <w:p>
      <w:pPr>
        <w:spacing w:after="0" w:line="11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Our products include equipment devices and the related disposables used with these devices. Disposables include the plasma, blood center, and hospital product families. Plasma consists of the disposables used to perform apheresis for the separation of whole blood components and subsequent collection of plasma to be used as a raw material for biologically derived pharmaceuticals (also known as source plasma). Blood center consists of disposables which separate whole blood for the subsequent collection of platelets, plasma, red cells, or a combination of these components for transfusion to patients. Hospital consists of surgical disposables (principally the Cell Saver</w:t>
      </w:r>
      <w:r>
        <w:rPr>
          <w:rFonts w:ascii="Arial" w:cs="Arial" w:eastAsia="Arial" w:hAnsi="Arial"/>
          <w:sz w:val="14"/>
          <w:szCs w:val="14"/>
          <w:color w:val="auto"/>
        </w:rPr>
        <w:t>®</w:t>
      </w:r>
      <w:r>
        <w:rPr>
          <w:rFonts w:ascii="Arial" w:cs="Arial" w:eastAsia="Arial" w:hAnsi="Arial"/>
          <w:sz w:val="17"/>
          <w:szCs w:val="17"/>
          <w:color w:val="auto"/>
        </w:rPr>
        <w:t xml:space="preserve"> and Cell Saver Elite </w:t>
      </w:r>
      <w:r>
        <w:rPr>
          <w:rFonts w:ascii="Arial" w:cs="Arial" w:eastAsia="Arial" w:hAnsi="Arial"/>
          <w:sz w:val="14"/>
          <w:szCs w:val="14"/>
          <w:color w:val="auto"/>
        </w:rPr>
        <w:t>®</w:t>
      </w:r>
      <w:r>
        <w:rPr>
          <w:rFonts w:ascii="Arial" w:cs="Arial" w:eastAsia="Arial" w:hAnsi="Arial"/>
          <w:sz w:val="17"/>
          <w:szCs w:val="17"/>
          <w:color w:val="auto"/>
        </w:rPr>
        <w:t xml:space="preserve"> autologous blood recovery systems targeted to procedures that involve rapid, high volume blood loss such as cardiovascular surgeries and the cardioPAT</w:t>
      </w:r>
      <w:r>
        <w:rPr>
          <w:rFonts w:ascii="Arial" w:cs="Arial" w:eastAsia="Arial" w:hAnsi="Arial"/>
          <w:sz w:val="14"/>
          <w:szCs w:val="14"/>
          <w:color w:val="auto"/>
        </w:rPr>
        <w:t>®</w:t>
      </w:r>
      <w:r>
        <w:rPr>
          <w:rFonts w:ascii="Arial" w:cs="Arial" w:eastAsia="Arial" w:hAnsi="Arial"/>
          <w:sz w:val="17"/>
          <w:szCs w:val="17"/>
          <w:color w:val="auto"/>
        </w:rPr>
        <w:t xml:space="preserve"> cardiovascular perioperative autotransfusion system designed to remain with the patient following surgery to recover blood and the patient’s red cells to prepare them for reinfusion), the OrthoPAT</w:t>
      </w:r>
      <w:r>
        <w:rPr>
          <w:rFonts w:ascii="Arial" w:cs="Arial" w:eastAsia="Arial" w:hAnsi="Arial"/>
          <w:sz w:val="14"/>
          <w:szCs w:val="14"/>
          <w:color w:val="auto"/>
        </w:rPr>
        <w:t>®</w:t>
      </w:r>
      <w:r>
        <w:rPr>
          <w:rFonts w:ascii="Arial" w:cs="Arial" w:eastAsia="Arial" w:hAnsi="Arial"/>
          <w:sz w:val="17"/>
          <w:szCs w:val="17"/>
          <w:color w:val="auto"/>
        </w:rPr>
        <w:t xml:space="preserve"> orthopedic perioperative autotransfusion system designed to operate both during and after surgery to recover and wash the patient’s red cells to prepare them for reinfusion, and diagnostics products (principally the TEG</w:t>
      </w:r>
      <w:r>
        <w:rPr>
          <w:rFonts w:ascii="Arial" w:cs="Arial" w:eastAsia="Arial" w:hAnsi="Arial"/>
          <w:sz w:val="14"/>
          <w:szCs w:val="14"/>
          <w:color w:val="auto"/>
        </w:rPr>
        <w:t>®</w:t>
      </w:r>
      <w:r>
        <w:rPr>
          <w:rFonts w:ascii="Arial" w:cs="Arial" w:eastAsia="Arial" w:hAnsi="Arial"/>
          <w:sz w:val="17"/>
          <w:szCs w:val="17"/>
          <w:color w:val="auto"/>
        </w:rPr>
        <w:t xml:space="preserve"> Thrombelastograph</w:t>
      </w:r>
      <w:r>
        <w:rPr>
          <w:rFonts w:ascii="Arial" w:cs="Arial" w:eastAsia="Arial" w:hAnsi="Arial"/>
          <w:sz w:val="14"/>
          <w:szCs w:val="14"/>
          <w:color w:val="auto"/>
        </w:rPr>
        <w:t>®</w:t>
      </w:r>
      <w:r>
        <w:rPr>
          <w:rFonts w:ascii="Arial" w:cs="Arial" w:eastAsia="Arial" w:hAnsi="Arial"/>
          <w:sz w:val="17"/>
          <w:szCs w:val="17"/>
          <w:color w:val="auto"/>
        </w:rPr>
        <w:t xml:space="preserve"> hemostasis analyzer used to help assess a surgical patient’s hemostasis (blood clotting ability) during and after surgery).</w:t>
      </w:r>
    </w:p>
    <w:p>
      <w:pPr>
        <w:spacing w:after="0" w:line="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Disposables (single-use sterile kits used in our devices for collection or salvage of blood products) are marketed in our plasma, blood center, and hospital product businesses. Plasma disposables are used with our PCS</w:t>
      </w:r>
      <w:r>
        <w:rPr>
          <w:rFonts w:ascii="Arial" w:cs="Arial" w:eastAsia="Arial" w:hAnsi="Arial"/>
          <w:sz w:val="15"/>
          <w:szCs w:val="15"/>
          <w:color w:val="auto"/>
        </w:rPr>
        <w:t>®</w:t>
      </w:r>
      <w:r>
        <w:rPr>
          <w:rFonts w:ascii="Arial" w:cs="Arial" w:eastAsia="Arial" w:hAnsi="Arial"/>
          <w:sz w:val="18"/>
          <w:szCs w:val="18"/>
          <w:color w:val="auto"/>
        </w:rPr>
        <w:t>2 devices to perform apheresis for the collection of plasma to be used as a raw material for biologically derived pharmaceuticals (also known as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source plasma). Blood center disposables are used with our MCS+ device to collect one or more blood components (principally platelets but also red cells and plasma) for transfusion to patients. The Hospital business consists of disposables used with our Cell Saver</w:t>
      </w:r>
      <w:r>
        <w:rPr>
          <w:rFonts w:ascii="Arial" w:cs="Arial" w:eastAsia="Arial" w:hAnsi="Arial"/>
          <w:sz w:val="14"/>
          <w:szCs w:val="14"/>
          <w:color w:val="auto"/>
        </w:rPr>
        <w:t>®</w:t>
      </w:r>
      <w:r>
        <w:rPr>
          <w:rFonts w:ascii="Arial" w:cs="Arial" w:eastAsia="Arial" w:hAnsi="Arial"/>
          <w:sz w:val="17"/>
          <w:szCs w:val="17"/>
          <w:color w:val="auto"/>
        </w:rPr>
        <w:t xml:space="preserve"> and cardioPAT</w:t>
      </w:r>
      <w:r>
        <w:rPr>
          <w:rFonts w:ascii="Arial" w:cs="Arial" w:eastAsia="Arial" w:hAnsi="Arial"/>
          <w:sz w:val="14"/>
          <w:szCs w:val="14"/>
          <w:color w:val="auto"/>
        </w:rPr>
        <w:t>®</w:t>
      </w:r>
      <w:r>
        <w:rPr>
          <w:rFonts w:ascii="Arial" w:cs="Arial" w:eastAsia="Arial" w:hAnsi="Arial"/>
          <w:sz w:val="17"/>
          <w:szCs w:val="17"/>
          <w:color w:val="auto"/>
        </w:rPr>
        <w:t xml:space="preserve"> devices to recover red cells from blood lost in a surgical procedure so that these may be made available for reinfusion to the patient (“autotransfusion”). OrthoPAT</w:t>
      </w:r>
      <w:r>
        <w:rPr>
          <w:rFonts w:ascii="Arial" w:cs="Arial" w:eastAsia="Arial" w:hAnsi="Arial"/>
          <w:sz w:val="14"/>
          <w:szCs w:val="14"/>
          <w:color w:val="auto"/>
        </w:rPr>
        <w:t>®</w:t>
      </w:r>
      <w:r>
        <w:rPr>
          <w:rFonts w:ascii="Arial" w:cs="Arial" w:eastAsia="Arial" w:hAnsi="Arial"/>
          <w:sz w:val="17"/>
          <w:szCs w:val="17"/>
          <w:color w:val="auto"/>
        </w:rPr>
        <w:t xml:space="preserve"> disposables are used for autotransfusion during and immediately following orthopedic surgeries. Diagnostics products principally reflect sales of diagnostic reagents and the TEG</w:t>
      </w:r>
      <w:r>
        <w:rPr>
          <w:rFonts w:ascii="Arial" w:cs="Arial" w:eastAsia="Arial" w:hAnsi="Arial"/>
          <w:sz w:val="14"/>
          <w:szCs w:val="14"/>
          <w:color w:val="auto"/>
        </w:rPr>
        <w:t>®</w:t>
      </w:r>
      <w:r>
        <w:rPr>
          <w:rFonts w:ascii="Arial" w:cs="Arial" w:eastAsia="Arial" w:hAnsi="Arial"/>
          <w:sz w:val="17"/>
          <w:szCs w:val="17"/>
          <w:color w:val="auto"/>
        </w:rPr>
        <w:t xml:space="preserve"> Thrombelastograph</w:t>
      </w:r>
      <w:r>
        <w:rPr>
          <w:rFonts w:ascii="Arial" w:cs="Arial" w:eastAsia="Arial" w:hAnsi="Arial"/>
          <w:sz w:val="14"/>
          <w:szCs w:val="14"/>
          <w:color w:val="auto"/>
        </w:rPr>
        <w:t>®</w:t>
      </w:r>
      <w:r>
        <w:rPr>
          <w:rFonts w:ascii="Arial" w:cs="Arial" w:eastAsia="Arial" w:hAnsi="Arial"/>
          <w:sz w:val="17"/>
          <w:szCs w:val="17"/>
          <w:color w:val="auto"/>
        </w:rPr>
        <w:t xml:space="preserve"> hemostasis analyzer which profiles a patient’s blood clotting characteristics.</w:t>
      </w:r>
    </w:p>
    <w:p>
      <w:pPr>
        <w:spacing w:after="0" w:line="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Software solutions include information technology platforms that assist blood centers, plasma centers, and hospitals to more effectively manage regulatory compliance and operational efficiency.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Revenues from External Customers: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w w:val="93"/>
              </w:rPr>
              <w:t>Three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96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color w:val="auto"/>
                <w:w w:val="93"/>
              </w:rPr>
              <w:t>October 1, 2011</w:t>
            </w:r>
          </w:p>
        </w:tc>
        <w:tc>
          <w:tcPr>
            <w:tcW w:w="6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October 2,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5"/>
          </w:tcPr>
          <w:p>
            <w:pPr>
              <w:jc w:val="right"/>
              <w:ind w:right="148"/>
              <w:spacing w:after="0" w:line="142" w:lineRule="exact"/>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Disposable revenues</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Plasma disposables</w:t>
            </w:r>
          </w:p>
        </w:tc>
        <w:tc>
          <w:tcPr>
            <w:tcW w:w="5220" w:type="dxa"/>
            <w:vAlign w:val="bottom"/>
            <w:gridSpan w:val="2"/>
          </w:tcPr>
          <w:p>
            <w:pPr>
              <w:ind w:left="500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220"/>
              <w:spacing w:after="0"/>
              <w:rPr>
                <w:sz w:val="20"/>
                <w:szCs w:val="20"/>
                <w:color w:val="auto"/>
              </w:rPr>
            </w:pPr>
            <w:r>
              <w:rPr>
                <w:rFonts w:ascii="Arial" w:cs="Arial" w:eastAsia="Arial" w:hAnsi="Arial"/>
                <w:sz w:val="18"/>
                <w:szCs w:val="18"/>
                <w:color w:val="auto"/>
                <w:w w:val="90"/>
              </w:rPr>
              <w:t>64,408</w:t>
            </w: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56,514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Blood center disposables</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600"/>
              <w:spacing w:after="0"/>
              <w:rPr>
                <w:sz w:val="20"/>
                <w:szCs w:val="20"/>
                <w:color w:val="auto"/>
              </w:rPr>
            </w:pPr>
            <w:r>
              <w:rPr>
                <w:rFonts w:ascii="Arial" w:cs="Arial" w:eastAsia="Arial" w:hAnsi="Arial"/>
                <w:sz w:val="18"/>
                <w:szCs w:val="18"/>
                <w:color w:val="auto"/>
              </w:rPr>
              <w:t>Platelet</w:t>
            </w: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ind w:left="220"/>
              <w:spacing w:after="0"/>
              <w:rPr>
                <w:sz w:val="20"/>
                <w:szCs w:val="20"/>
                <w:color w:val="auto"/>
              </w:rPr>
            </w:pPr>
            <w:r>
              <w:rPr>
                <w:rFonts w:ascii="Arial" w:cs="Arial" w:eastAsia="Arial" w:hAnsi="Arial"/>
                <w:sz w:val="18"/>
                <w:szCs w:val="18"/>
                <w:color w:val="auto"/>
                <w:w w:val="90"/>
              </w:rPr>
              <w:t>42,195</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Red cell</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11,645</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8"/>
                <w:szCs w:val="18"/>
                <w:color w:val="auto"/>
                <w:w w:val="87"/>
              </w:rPr>
              <w:t>53,840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Hospital disposables</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600"/>
              <w:spacing w:after="0"/>
              <w:rPr>
                <w:sz w:val="20"/>
                <w:szCs w:val="20"/>
                <w:color w:val="auto"/>
              </w:rPr>
            </w:pPr>
            <w:r>
              <w:rPr>
                <w:rFonts w:ascii="Arial" w:cs="Arial" w:eastAsia="Arial" w:hAnsi="Arial"/>
                <w:sz w:val="18"/>
                <w:szCs w:val="18"/>
                <w:color w:val="auto"/>
              </w:rPr>
              <w:t>Surgical</w:t>
            </w: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ind w:left="220"/>
              <w:spacing w:after="0"/>
              <w:rPr>
                <w:sz w:val="20"/>
                <w:szCs w:val="20"/>
                <w:color w:val="auto"/>
              </w:rPr>
            </w:pPr>
            <w:r>
              <w:rPr>
                <w:rFonts w:ascii="Arial" w:cs="Arial" w:eastAsia="Arial" w:hAnsi="Arial"/>
                <w:sz w:val="18"/>
                <w:szCs w:val="18"/>
                <w:color w:val="auto"/>
                <w:w w:val="90"/>
              </w:rPr>
              <w:t>16,206</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OrthoPAT</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7,295</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600"/>
              <w:spacing w:after="0"/>
              <w:rPr>
                <w:sz w:val="20"/>
                <w:szCs w:val="20"/>
                <w:color w:val="auto"/>
              </w:rPr>
            </w:pPr>
            <w:r>
              <w:rPr>
                <w:rFonts w:ascii="Arial" w:cs="Arial" w:eastAsia="Arial" w:hAnsi="Arial"/>
                <w:sz w:val="18"/>
                <w:szCs w:val="18"/>
                <w:color w:val="auto"/>
              </w:rPr>
              <w:t>Diagnostics</w:t>
            </w:r>
          </w:p>
        </w:tc>
        <w:tc>
          <w:tcPr>
            <w:tcW w:w="5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5,659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w w:val="87"/>
              </w:rPr>
              <w:t>29,160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820" w:type="dxa"/>
            <w:vAlign w:val="bottom"/>
            <w:gridSpan w:val="2"/>
          </w:tcPr>
          <w:p>
            <w:pPr>
              <w:spacing w:after="0"/>
              <w:rPr>
                <w:sz w:val="20"/>
                <w:szCs w:val="20"/>
                <w:color w:val="auto"/>
              </w:rPr>
            </w:pPr>
            <w:r>
              <w:rPr>
                <w:rFonts w:ascii="Arial" w:cs="Arial" w:eastAsia="Arial" w:hAnsi="Arial"/>
                <w:sz w:val="18"/>
                <w:szCs w:val="18"/>
                <w:color w:val="auto"/>
              </w:rPr>
              <w:t>Disposables revenue</w:t>
            </w:r>
          </w:p>
        </w:tc>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147,408</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136,493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0"/>
              </w:rPr>
              <w:t>17,199</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Equipment &amp; other</w:t>
            </w:r>
          </w:p>
        </w:tc>
        <w:tc>
          <w:tcPr>
            <w:tcW w:w="5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w w:val="87"/>
              </w:rPr>
              <w:t>14,838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179,445</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166,833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color w:val="auto"/>
              </w:rPr>
              <w:t>Six Months Ended</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October 1, 2011</w:t>
            </w:r>
          </w:p>
        </w:tc>
        <w:tc>
          <w:tcPr>
            <w:tcW w:w="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October 2,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5"/>
          </w:tcPr>
          <w:p>
            <w:pPr>
              <w:jc w:val="right"/>
              <w:ind w:right="148"/>
              <w:spacing w:after="0" w:line="142" w:lineRule="exact"/>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Disposable revenues</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Plasma disposables</w:t>
            </w:r>
          </w:p>
        </w:tc>
        <w:tc>
          <w:tcPr>
            <w:tcW w:w="5220" w:type="dxa"/>
            <w:vAlign w:val="bottom"/>
            <w:gridSpan w:val="2"/>
          </w:tcPr>
          <w:p>
            <w:pPr>
              <w:ind w:left="5000"/>
              <w:spacing w:after="0"/>
              <w:rPr>
                <w:sz w:val="20"/>
                <w:szCs w:val="20"/>
                <w:color w:val="auto"/>
              </w:rPr>
            </w:pPr>
            <w:r>
              <w:rPr>
                <w:rFonts w:ascii="Arial" w:cs="Arial" w:eastAsia="Arial" w:hAnsi="Arial"/>
                <w:sz w:val="18"/>
                <w:szCs w:val="18"/>
                <w:color w:val="auto"/>
              </w:rPr>
              <w:t>$</w:t>
            </w:r>
          </w:p>
        </w:tc>
        <w:tc>
          <w:tcPr>
            <w:tcW w:w="700" w:type="dxa"/>
            <w:vAlign w:val="bottom"/>
          </w:tcPr>
          <w:p>
            <w:pPr>
              <w:ind w:left="100"/>
              <w:spacing w:after="0"/>
              <w:rPr>
                <w:sz w:val="20"/>
                <w:szCs w:val="20"/>
                <w:color w:val="auto"/>
              </w:rPr>
            </w:pPr>
            <w:r>
              <w:rPr>
                <w:rFonts w:ascii="Arial" w:cs="Arial" w:eastAsia="Arial" w:hAnsi="Arial"/>
                <w:sz w:val="18"/>
                <w:szCs w:val="18"/>
                <w:color w:val="auto"/>
                <w:w w:val="89"/>
              </w:rPr>
              <w:t>127,168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112,431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Blood center disposables</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rPr>
              <w:t>Platelet</w:t>
            </w: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w w:val="87"/>
              </w:rPr>
              <w:t>79,504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76,063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Red cell</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23,514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9"/>
              </w:rPr>
              <w:t>103,018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Hospital disposables</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rPr>
              <w:t>Surgical</w:t>
            </w: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w w:val="87"/>
              </w:rPr>
              <w:t>31,948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OrthoPAT</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15,049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rPr>
              <w:t>Diagnostics</w:t>
            </w:r>
          </w:p>
        </w:tc>
        <w:tc>
          <w:tcPr>
            <w:tcW w:w="5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7"/>
              </w:rPr>
              <w:t>11,273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7"/>
              </w:rPr>
              <w:t>58,270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820" w:type="dxa"/>
            <w:vAlign w:val="bottom"/>
            <w:gridSpan w:val="2"/>
          </w:tcPr>
          <w:p>
            <w:pPr>
              <w:spacing w:after="0"/>
              <w:rPr>
                <w:sz w:val="20"/>
                <w:szCs w:val="20"/>
                <w:color w:val="auto"/>
              </w:rPr>
            </w:pPr>
            <w:r>
              <w:rPr>
                <w:rFonts w:ascii="Arial" w:cs="Arial" w:eastAsia="Arial" w:hAnsi="Arial"/>
                <w:sz w:val="18"/>
                <w:szCs w:val="18"/>
                <w:color w:val="auto"/>
              </w:rPr>
              <w:t>Disposables revenue</w:t>
            </w:r>
          </w:p>
        </w:tc>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w w:val="89"/>
              </w:rPr>
              <w:t>288,456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270,057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35,359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Equipment &amp; other</w:t>
            </w:r>
          </w:p>
        </w:tc>
        <w:tc>
          <w:tcPr>
            <w:tcW w:w="5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7"/>
              </w:rPr>
              <w:t>26,199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5220" w:type="dxa"/>
            <w:vAlign w:val="bottom"/>
            <w:gridSpan w:val="2"/>
            <w:shd w:val="clear" w:color="auto" w:fill="CCEEFF"/>
          </w:tcPr>
          <w:p>
            <w:pPr>
              <w:ind w:left="50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350,014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329,872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000" w:type="dxa"/>
            <w:vAlign w:val="bottom"/>
            <w:vMerge w:val="restart"/>
          </w:tcPr>
          <w:p>
            <w:pPr>
              <w:jc w:val="right"/>
              <w:ind w:right="2930"/>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REORGANIZATION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six months ended October 1, 2011, the Company’s restructuring activities primarily consist of reorganization within our research and development, manufacturing and software operations. Employee-related costs primarily consist of employee severance and benefits. Facility-related costs primarily consist of charges associated with closing facilities, related lease obligations, and other related costs.</w:t>
      </w:r>
    </w:p>
    <w:p>
      <w:pPr>
        <w:spacing w:after="0" w:line="7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For the six months ended October 1, 2011, the Company incurred $3.0 million of restructuring charges. Restructuring expenses have been primarily included as a component of selling, general and administrative expense in the accompanying statements of income. We anticipate that the Company will incur approximately $5 to $6 million in additional restructuring charges related to these initiatives over the remaining six months of fiscal year 2012.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six months ended October 1, 2011 and October 2, 2010,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color w:val="auto"/>
                <w:w w:val="93"/>
              </w:rPr>
              <w:t>Six Months Ended October 1, 2011</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3"/>
              </w:rPr>
              <w:t>Restructuring</w:t>
            </w:r>
          </w:p>
        </w:tc>
        <w:tc>
          <w:tcPr>
            <w:tcW w:w="100" w:type="dxa"/>
            <w:vAlign w:val="bottom"/>
          </w:tcPr>
          <w:p>
            <w:pPr>
              <w:spacing w:after="0"/>
              <w:rPr>
                <w:sz w:val="10"/>
                <w:szCs w:val="10"/>
                <w:color w:val="auto"/>
              </w:rPr>
            </w:pPr>
          </w:p>
        </w:tc>
      </w:tr>
      <w:tr>
        <w:trPr>
          <w:trHeight w:val="149"/>
        </w:trPr>
        <w:tc>
          <w:tcPr>
            <w:tcW w:w="6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Accrual</w:t>
            </w:r>
          </w:p>
        </w:tc>
      </w:tr>
      <w:tr>
        <w:trPr>
          <w:trHeight w:val="149"/>
        </w:trPr>
        <w:tc>
          <w:tcPr>
            <w:tcW w:w="6200" w:type="dxa"/>
            <w:vAlign w:val="bottom"/>
          </w:tcPr>
          <w:p>
            <w:pPr>
              <w:spacing w:after="0"/>
              <w:rPr>
                <w:sz w:val="12"/>
                <w:szCs w:val="12"/>
                <w:color w:val="auto"/>
              </w:rPr>
            </w:pPr>
          </w:p>
        </w:tc>
        <w:tc>
          <w:tcPr>
            <w:tcW w:w="1100" w:type="dxa"/>
            <w:vAlign w:val="bottom"/>
            <w:gridSpan w:val="4"/>
          </w:tcPr>
          <w:p>
            <w:pPr>
              <w:ind w:left="80"/>
              <w:spacing w:after="0" w:line="149" w:lineRule="exact"/>
              <w:rPr>
                <w:sz w:val="20"/>
                <w:szCs w:val="20"/>
                <w:color w:val="auto"/>
              </w:rPr>
            </w:pPr>
            <w:r>
              <w:rPr>
                <w:rFonts w:ascii="Arial" w:cs="Arial" w:eastAsia="Arial" w:hAnsi="Arial"/>
                <w:sz w:val="14"/>
                <w:szCs w:val="14"/>
                <w:color w:val="auto"/>
              </w:rPr>
              <w:t>Balance at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Balance at</w:t>
            </w:r>
          </w:p>
        </w:tc>
      </w:tr>
      <w:tr>
        <w:trPr>
          <w:trHeight w:val="167"/>
        </w:trPr>
        <w:tc>
          <w:tcPr>
            <w:tcW w:w="62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gridSpan w:val="4"/>
          </w:tcPr>
          <w:p>
            <w:pPr>
              <w:spacing w:after="0"/>
              <w:rPr>
                <w:sz w:val="20"/>
                <w:szCs w:val="20"/>
                <w:color w:val="auto"/>
              </w:rPr>
            </w:pPr>
            <w:r>
              <w:rPr>
                <w:rFonts w:ascii="Arial" w:cs="Arial" w:eastAsia="Arial" w:hAnsi="Arial"/>
                <w:sz w:val="14"/>
                <w:szCs w:val="14"/>
                <w:color w:val="auto"/>
              </w:rPr>
              <w:t>April 2, 2011</w:t>
            </w:r>
          </w:p>
        </w:tc>
        <w:tc>
          <w:tcPr>
            <w:tcW w:w="1760" w:type="dxa"/>
            <w:vAlign w:val="bottom"/>
            <w:gridSpan w:val="4"/>
          </w:tcPr>
          <w:p>
            <w:pPr>
              <w:ind w:left="320"/>
              <w:spacing w:after="0"/>
              <w:rPr>
                <w:sz w:val="20"/>
                <w:szCs w:val="20"/>
                <w:color w:val="auto"/>
              </w:rPr>
            </w:pPr>
            <w:r>
              <w:rPr>
                <w:rFonts w:ascii="Arial" w:cs="Arial" w:eastAsia="Arial" w:hAnsi="Arial"/>
                <w:sz w:val="14"/>
                <w:szCs w:val="14"/>
                <w:color w:val="auto"/>
              </w:rPr>
              <w:t>Cost Incurred</w:t>
            </w:r>
          </w:p>
        </w:tc>
        <w:tc>
          <w:tcPr>
            <w:tcW w:w="1340" w:type="dxa"/>
            <w:vAlign w:val="bottom"/>
            <w:gridSpan w:val="3"/>
          </w:tcPr>
          <w:p>
            <w:pPr>
              <w:jc w:val="right"/>
              <w:ind w:right="640"/>
              <w:spacing w:after="0"/>
              <w:rPr>
                <w:sz w:val="20"/>
                <w:szCs w:val="20"/>
                <w:color w:val="auto"/>
              </w:rPr>
            </w:pPr>
            <w:r>
              <w:rPr>
                <w:rFonts w:ascii="Arial" w:cs="Arial" w:eastAsia="Arial" w:hAnsi="Arial"/>
                <w:sz w:val="14"/>
                <w:szCs w:val="14"/>
                <w:color w:val="auto"/>
                <w:w w:val="96"/>
              </w:rPr>
              <w:t>Payments</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color w:val="auto"/>
                <w:w w:val="91"/>
              </w:rPr>
              <w:t>October 1, 2011</w:t>
            </w:r>
          </w:p>
        </w:tc>
      </w:tr>
      <w:tr>
        <w:trPr>
          <w:trHeight w:val="20"/>
        </w:trPr>
        <w:tc>
          <w:tcPr>
            <w:tcW w:w="6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costs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Facility-related costs</w:t>
            </w: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889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r>
      <w:tr>
        <w:trPr>
          <w:trHeight w:val="27"/>
        </w:trPr>
        <w:tc>
          <w:tcPr>
            <w:tcW w:w="6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3,639</w:t>
            </w:r>
          </w:p>
        </w:tc>
      </w:tr>
      <w:tr>
        <w:trPr>
          <w:trHeight w:val="20"/>
        </w:trPr>
        <w:tc>
          <w:tcPr>
            <w:tcW w:w="6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color w:val="auto"/>
                <w:w w:val="93"/>
              </w:rPr>
              <w:t>Six Months Ended October 2, 2010</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6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3"/>
              </w:rPr>
              <w:t>Restructuring</w:t>
            </w:r>
          </w:p>
        </w:tc>
        <w:tc>
          <w:tcPr>
            <w:tcW w:w="100" w:type="dxa"/>
            <w:vAlign w:val="bottom"/>
          </w:tcPr>
          <w:p>
            <w:pPr>
              <w:spacing w:after="0"/>
              <w:rPr>
                <w:sz w:val="10"/>
                <w:szCs w:val="10"/>
                <w:color w:val="auto"/>
              </w:rPr>
            </w:pPr>
          </w:p>
        </w:tc>
      </w:tr>
      <w:tr>
        <w:trPr>
          <w:trHeight w:val="149"/>
        </w:trPr>
        <w:tc>
          <w:tcPr>
            <w:tcW w:w="6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Accrual</w:t>
            </w:r>
          </w:p>
        </w:tc>
      </w:tr>
      <w:tr>
        <w:trPr>
          <w:trHeight w:val="149"/>
        </w:trPr>
        <w:tc>
          <w:tcPr>
            <w:tcW w:w="6200" w:type="dxa"/>
            <w:vAlign w:val="bottom"/>
          </w:tcPr>
          <w:p>
            <w:pPr>
              <w:spacing w:after="0"/>
              <w:rPr>
                <w:sz w:val="12"/>
                <w:szCs w:val="12"/>
                <w:color w:val="auto"/>
              </w:rPr>
            </w:pPr>
          </w:p>
        </w:tc>
        <w:tc>
          <w:tcPr>
            <w:tcW w:w="110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Balance at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Balance at</w:t>
            </w:r>
          </w:p>
        </w:tc>
      </w:tr>
      <w:tr>
        <w:trPr>
          <w:trHeight w:val="167"/>
        </w:trPr>
        <w:tc>
          <w:tcPr>
            <w:tcW w:w="62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gridSpan w:val="4"/>
          </w:tcPr>
          <w:p>
            <w:pPr>
              <w:spacing w:after="0"/>
              <w:rPr>
                <w:sz w:val="20"/>
                <w:szCs w:val="20"/>
                <w:color w:val="auto"/>
              </w:rPr>
            </w:pPr>
            <w:r>
              <w:rPr>
                <w:rFonts w:ascii="Arial" w:cs="Arial" w:eastAsia="Arial" w:hAnsi="Arial"/>
                <w:sz w:val="14"/>
                <w:szCs w:val="14"/>
                <w:color w:val="auto"/>
              </w:rPr>
              <w:t>April 3, 2010</w:t>
            </w:r>
          </w:p>
        </w:tc>
        <w:tc>
          <w:tcPr>
            <w:tcW w:w="3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Cost Incurred</w:t>
            </w:r>
          </w:p>
        </w:tc>
        <w:tc>
          <w:tcPr>
            <w:tcW w:w="1340" w:type="dxa"/>
            <w:vAlign w:val="bottom"/>
            <w:gridSpan w:val="3"/>
          </w:tcPr>
          <w:p>
            <w:pPr>
              <w:jc w:val="right"/>
              <w:ind w:right="640"/>
              <w:spacing w:after="0"/>
              <w:rPr>
                <w:sz w:val="20"/>
                <w:szCs w:val="20"/>
                <w:color w:val="auto"/>
              </w:rPr>
            </w:pPr>
            <w:r>
              <w:rPr>
                <w:rFonts w:ascii="Arial" w:cs="Arial" w:eastAsia="Arial" w:hAnsi="Arial"/>
                <w:sz w:val="14"/>
                <w:szCs w:val="14"/>
                <w:color w:val="auto"/>
                <w:w w:val="96"/>
              </w:rPr>
              <w:t>Payments</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color w:val="auto"/>
                <w:w w:val="91"/>
              </w:rPr>
              <w:t>October 2, 2010</w:t>
            </w: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Employee-related costs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9,761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(5,529</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18"/>
                <w:szCs w:val="18"/>
                <w:color w:val="auto"/>
              </w:rPr>
            </w:pPr>
          </w:p>
        </w:tc>
      </w:tr>
      <w:tr>
        <w:trPr>
          <w:trHeight w:val="223"/>
        </w:trPr>
        <w:tc>
          <w:tcPr>
            <w:tcW w:w="620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9,761</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6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(5,529</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CAPITALIZATION OF SOFTWARE DEVELOPMENT COSTS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the Company applies the provisions of ASC Topic 985-20, </w:t>
      </w:r>
      <w:r>
        <w:rPr>
          <w:rFonts w:ascii="Arial" w:cs="Arial" w:eastAsia="Arial" w:hAnsi="Arial"/>
          <w:sz w:val="18"/>
          <w:szCs w:val="18"/>
          <w:i w:val="1"/>
          <w:iCs w:val="1"/>
          <w:color w:val="auto"/>
        </w:rPr>
        <w:t>Software</w:t>
      </w:r>
      <w:r>
        <w:rPr>
          <w:rFonts w:ascii="Arial" w:cs="Arial" w:eastAsia="Arial" w:hAnsi="Arial"/>
          <w:sz w:val="18"/>
          <w:szCs w:val="18"/>
          <w:color w:val="auto"/>
        </w:rPr>
        <w:t>, which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capitalized $2.8 million and $3.4 million in software development costs for ongoing initiatives during the six month periods ended October 1, 2011 and October 2, 2010, respectively. At October 1, 2011 and April 2, 2011, we have a total of $12.2 million and $13.4 million, respectively, of costs capitalized related to in process software development initiatives. The costs capitalized for each project are included in intangible assets in the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2011 Annual Report on Form 10-K filed with the Securities and Exchange Commission (the “SEC”) on May 26, 2011. The following discussion may contain forward-looking statements and should be read in conjunction with the “</w:t>
      </w:r>
      <w:r>
        <w:rPr>
          <w:rFonts w:ascii="Arial" w:cs="Arial" w:eastAsia="Arial" w:hAnsi="Arial"/>
          <w:sz w:val="17"/>
          <w:szCs w:val="17"/>
          <w:b w:val="1"/>
          <w:bCs w:val="1"/>
          <w:color w:val="auto"/>
        </w:rPr>
        <w:t>Cautionary Statement Regarding Forward-Looking Information</w:t>
      </w:r>
      <w:r>
        <w:rPr>
          <w:rFonts w:ascii="Arial" w:cs="Arial" w:eastAsia="Arial" w:hAnsi="Arial"/>
          <w:sz w:val="17"/>
          <w:szCs w:val="17"/>
          <w:color w:val="auto"/>
        </w:rPr>
        <w:t>” beginning on page 28.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Haemonetics is a blood management solutions company. Anchored by our medical device systems, we also provide information technology platforms and value added services to provide customers with business solutions which support improved clinical outcomes for patients and efficiency in the blood supply chain.</w:t>
      </w:r>
    </w:p>
    <w:p>
      <w:pPr>
        <w:spacing w:after="0" w:line="7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medical device systems automate the collection and processing of donated blood; assess likelihood for blood loss; salvage and process blood from surgery patients; and dispense and track blood inventory in the hospital. These systems include devices and single-use, proprietary disposable sets (“disposables”) that operate only with our specialized devices. Specifically, our plasma and blood center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w:t>
      </w:r>
    </w:p>
    <w:p>
      <w:pPr>
        <w:spacing w:after="0" w:line="5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Our business services products include blood management, Six Sigma, and LEAN manufacturing consulting, which support our customers’ needs for regulatory compliance and operational efficiency in the blood supply chain.</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either sell our devices to customers (resulting in equipment revenue) or place our devices with customers subject to certain conditions. When the device remains our property, the customer has the right to use it for a period of time as long as the customer meets certain conditions we have established, which, among other things, generally include one or more of the following:</w:t>
      </w:r>
    </w:p>
    <w:p>
      <w:pPr>
        <w:spacing w:after="0" w:line="73"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Purchase and consumption of a minimum level of disposables products;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Payment of monthly rental fees;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disposables revenue stream, which includes the sales of disposables and fees for the use of our equipment, accounted for approximately 82.4% and 81.9% of our total revenues for the first six months of fiscal year 2012 and 2011,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color w:val="auto"/>
              </w:rPr>
              <w:t>Three Months Ended</w:t>
            </w:r>
          </w:p>
        </w:tc>
        <w:tc>
          <w:tcPr>
            <w:tcW w:w="1680" w:type="dxa"/>
            <w:vAlign w:val="bottom"/>
            <w:gridSpan w:val="3"/>
            <w:vMerge w:val="restart"/>
          </w:tcPr>
          <w:p>
            <w:pPr>
              <w:jc w:val="center"/>
              <w:ind w:right="480"/>
              <w:spacing w:after="0"/>
              <w:rPr>
                <w:sz w:val="20"/>
                <w:szCs w:val="20"/>
                <w:color w:val="auto"/>
              </w:rPr>
            </w:pPr>
            <w:r>
              <w:rPr>
                <w:rFonts w:ascii="Arial" w:cs="Arial" w:eastAsia="Arial" w:hAnsi="Arial"/>
                <w:sz w:val="14"/>
                <w:szCs w:val="14"/>
                <w:color w:val="auto"/>
                <w:w w:val="91"/>
              </w:rPr>
              <w:t>% Increase/</w:t>
            </w:r>
          </w:p>
        </w:tc>
        <w:tc>
          <w:tcPr>
            <w:tcW w:w="120" w:type="dxa"/>
            <w:vAlign w:val="bottom"/>
          </w:tcPr>
          <w:p>
            <w:pPr>
              <w:spacing w:after="0"/>
              <w:rPr>
                <w:sz w:val="14"/>
                <w:szCs w:val="14"/>
                <w:color w:val="auto"/>
              </w:rPr>
            </w:pPr>
          </w:p>
        </w:tc>
        <w:tc>
          <w:tcPr>
            <w:tcW w:w="2400" w:type="dxa"/>
            <w:vAlign w:val="bottom"/>
            <w:gridSpan w:val="5"/>
          </w:tcPr>
          <w:p>
            <w:pPr>
              <w:jc w:val="right"/>
              <w:ind w:right="940"/>
              <w:spacing w:after="0"/>
              <w:rPr>
                <w:sz w:val="20"/>
                <w:szCs w:val="20"/>
                <w:color w:val="auto"/>
              </w:rPr>
            </w:pPr>
            <w:r>
              <w:rPr>
                <w:rFonts w:ascii="Arial" w:cs="Arial" w:eastAsia="Arial" w:hAnsi="Arial"/>
                <w:sz w:val="14"/>
                <w:szCs w:val="14"/>
                <w:color w:val="auto"/>
              </w:rPr>
              <w:t>Six Months Ended</w:t>
            </w:r>
          </w:p>
        </w:tc>
        <w:tc>
          <w:tcPr>
            <w:tcW w:w="1160" w:type="dxa"/>
            <w:vAlign w:val="bottom"/>
            <w:gridSpan w:val="3"/>
            <w:vMerge w:val="restart"/>
          </w:tcPr>
          <w:p>
            <w:pPr>
              <w:jc w:val="center"/>
              <w:spacing w:after="0"/>
              <w:rPr>
                <w:sz w:val="20"/>
                <w:szCs w:val="20"/>
                <w:color w:val="auto"/>
              </w:rPr>
            </w:pPr>
            <w:r>
              <w:rPr>
                <w:rFonts w:ascii="Arial" w:cs="Arial" w:eastAsia="Arial" w:hAnsi="Arial"/>
                <w:sz w:val="14"/>
                <w:szCs w:val="14"/>
                <w:color w:val="auto"/>
                <w:w w:val="91"/>
              </w:rPr>
              <w:t>% Increase/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400"/>
              <w:spacing w:after="0" w:line="123" w:lineRule="exact"/>
              <w:rPr>
                <w:sz w:val="20"/>
                <w:szCs w:val="20"/>
                <w:color w:val="auto"/>
              </w:rPr>
            </w:pPr>
            <w:r>
              <w:rPr>
                <w:rFonts w:ascii="Arial" w:cs="Arial" w:eastAsia="Arial" w:hAnsi="Arial"/>
                <w:sz w:val="14"/>
                <w:szCs w:val="14"/>
                <w:color w:val="auto"/>
                <w:w w:val="91"/>
              </w:rPr>
              <w:t>October 1,</w:t>
            </w:r>
          </w:p>
        </w:tc>
        <w:tc>
          <w:tcPr>
            <w:tcW w:w="2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7"/>
              </w:rPr>
              <w:t>October 2,</w:t>
            </w:r>
          </w:p>
        </w:tc>
        <w:tc>
          <w:tcPr>
            <w:tcW w:w="42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1400" w:type="dxa"/>
            <w:vAlign w:val="bottom"/>
            <w:tcBorders>
              <w:top w:val="single" w:sz="8" w:color="auto"/>
            </w:tcBorders>
            <w:gridSpan w:val="3"/>
          </w:tcPr>
          <w:p>
            <w:pPr>
              <w:jc w:val="right"/>
              <w:ind w:right="740"/>
              <w:spacing w:after="0" w:line="123" w:lineRule="exact"/>
              <w:rPr>
                <w:sz w:val="20"/>
                <w:szCs w:val="20"/>
                <w:color w:val="auto"/>
              </w:rPr>
            </w:pPr>
            <w:r>
              <w:rPr>
                <w:rFonts w:ascii="Arial" w:cs="Arial" w:eastAsia="Arial" w:hAnsi="Arial"/>
                <w:sz w:val="14"/>
                <w:szCs w:val="14"/>
                <w:color w:val="auto"/>
                <w:w w:val="97"/>
              </w:rPr>
              <w:t>October 1,</w:t>
            </w:r>
          </w:p>
        </w:tc>
        <w:tc>
          <w:tcPr>
            <w:tcW w:w="7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7"/>
              </w:rPr>
              <w:t>October 2,</w:t>
            </w:r>
          </w:p>
        </w:tc>
        <w:tc>
          <w:tcPr>
            <w:tcW w:w="42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2011</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2010</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2011</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2010</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179,445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166,833</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350,014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329,872</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Gross profit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89,949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87,755</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178,698</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174,217</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 of net revenues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50.1%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52.6%</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i w:val="1"/>
                <w:iCs w:val="1"/>
                <w:color w:val="auto"/>
              </w:rPr>
              <w:t>51.1%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52.8%</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8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71,383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58,850</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21.3%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136,223</w:t>
            </w:r>
          </w:p>
        </w:tc>
        <w:tc>
          <w:tcPr>
            <w:tcW w:w="7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121,125</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18,566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28,905</w:t>
            </w:r>
          </w:p>
        </w:tc>
        <w:tc>
          <w:tcPr>
            <w:tcW w:w="1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42,475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53,092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200"/>
              <w:spacing w:after="0"/>
              <w:rPr>
                <w:sz w:val="20"/>
                <w:szCs w:val="20"/>
                <w:color w:val="auto"/>
              </w:rPr>
            </w:pPr>
            <w:r>
              <w:rPr>
                <w:rFonts w:ascii="Arial" w:cs="Arial" w:eastAsia="Arial" w:hAnsi="Arial"/>
                <w:sz w:val="18"/>
                <w:szCs w:val="18"/>
                <w:i w:val="1"/>
                <w:iCs w:val="1"/>
                <w:color w:val="auto"/>
              </w:rPr>
              <w:t>% of net revenues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10.3%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17.3%</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i w:val="1"/>
                <w:iCs w:val="1"/>
                <w:color w:val="auto"/>
              </w:rPr>
              <w:t>12.1%</w:t>
            </w: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16.1%</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254</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432"/>
        </w:trPr>
        <w:tc>
          <w:tcPr>
            <w:tcW w:w="284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19,011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29,159</w:t>
            </w: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(34.8%)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42,705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53,534</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5,131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7,821</w:t>
            </w:r>
          </w:p>
        </w:tc>
        <w:tc>
          <w:tcPr>
            <w:tcW w:w="1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14,277</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200"/>
              <w:spacing w:after="0"/>
              <w:rPr>
                <w:sz w:val="20"/>
                <w:szCs w:val="20"/>
                <w:color w:val="auto"/>
              </w:rPr>
            </w:pPr>
            <w:r>
              <w:rPr>
                <w:rFonts w:ascii="Arial" w:cs="Arial" w:eastAsia="Arial" w:hAnsi="Arial"/>
                <w:sz w:val="18"/>
                <w:szCs w:val="18"/>
                <w:i w:val="1"/>
                <w:iCs w:val="1"/>
                <w:color w:val="auto"/>
              </w:rPr>
              <w:t>% of pre-tax income</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27.0%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26.8%</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i w:val="1"/>
                <w:iCs w:val="1"/>
                <w:color w:val="auto"/>
              </w:rPr>
              <w:t>27.8%</w:t>
            </w: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26.7%</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13,880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21,338</w:t>
            </w:r>
          </w:p>
        </w:tc>
        <w:tc>
          <w:tcPr>
            <w:tcW w:w="1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30,828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39,257</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200"/>
              <w:spacing w:after="0"/>
              <w:rPr>
                <w:sz w:val="20"/>
                <w:szCs w:val="20"/>
                <w:color w:val="auto"/>
              </w:rPr>
            </w:pPr>
            <w:r>
              <w:rPr>
                <w:rFonts w:ascii="Arial" w:cs="Arial" w:eastAsia="Arial" w:hAnsi="Arial"/>
                <w:sz w:val="18"/>
                <w:szCs w:val="18"/>
                <w:i w:val="1"/>
                <w:iCs w:val="1"/>
                <w:color w:val="auto"/>
              </w:rPr>
              <w:t>% of net revenues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7.7%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12.8%</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i w:val="1"/>
                <w:iCs w:val="1"/>
                <w:color w:val="auto"/>
              </w:rPr>
              <w:t>8.8%</w:t>
            </w: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11.9%</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0.85</w:t>
            </w:r>
          </w:p>
        </w:tc>
        <w:tc>
          <w:tcPr>
            <w:tcW w:w="1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revenues increased 7.6% and 6.1% for the second quarter and first six months, respectively, of fiscal year 2012 over the comparable periods of fiscal year 2011. Without the effects of foreign exchange which accounted for an increase of 2.3% and 2.5% for the second quarter and first six months, respectively, of fiscal year 2012, net revenues increased 5.3% and 3.6% for the quarter and six months ended October 1, 2011. This increase reflects strong year over year revenue growth from our plasma, TEG and software businesses, offset by declines in our hospital businesses primarily due to a recall of certain of our OrthoPAT devices.</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Gross profit increased 2.5% and 2.6% as compared to the second quarter and first six months, respectively, of fiscal year 2011. Without the effects of foreign exchange, which increased gross profit by 2.2% and 2.6% for the second quarter and first six months, respectively, of fiscal year 2012, gross profit increased 0.3% and was flat for the quarter and six months, respectively, ended October 1, 2011. Our gross profit margin decreased by 170 basis points for the first six months of fiscal year 2012. The decrease was primarily due to increased product quality costs and product mix associated with lower sales of hospital products and higher plasma disposable sales.</w:t>
      </w:r>
    </w:p>
    <w:p>
      <w:pPr>
        <w:spacing w:after="0" w:line="80"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Operating expenses increased 21.3% and 12.5% for the second quarter and first six months, respectively, of fiscal year 2012 over the comparable periods of fiscal year 2011. Foreign exchange accounted for an increase in operating expenses of 5.5% and 4.6% for the quarter and six months, respectively. Without the effects of foreign exchange, operating expenses increased 15.8% and 7.9% in the second quarter and first six months, respectively, of fiscal year 2012.</w:t>
      </w:r>
    </w:p>
    <w:p>
      <w:pPr>
        <w:ind w:right="260"/>
        <w:spacing w:after="0" w:line="255" w:lineRule="auto"/>
        <w:rPr>
          <w:sz w:val="20"/>
          <w:szCs w:val="20"/>
          <w:color w:val="auto"/>
        </w:rPr>
      </w:pPr>
      <w:r>
        <w:rPr>
          <w:rFonts w:ascii="Arial" w:cs="Arial" w:eastAsia="Arial" w:hAnsi="Arial"/>
          <w:sz w:val="18"/>
          <w:szCs w:val="18"/>
          <w:color w:val="auto"/>
        </w:rPr>
        <w:t>Higher operating expenses are attributable to increased restructuring costs, $2.4 million of expenses associated with customer claims arising from a quality matter with a plasma disposable product, and increased investment in research and development and sales and marketing. These increases were partially offset by lower expense associated with cash bonus compensation for this fiscal year.</w:t>
      </w:r>
    </w:p>
    <w:p>
      <w:pPr>
        <w:spacing w:after="0" w:line="82"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Operating income decreased 35.8% and 20.0% for the second quarter and first six months of fiscal year 2012 over the comparable periods of fiscal year 2011. Foreign exchange accounted for a decrease of 4.6% and 1.9% for the second quarter and first six months, respectively, of fiscal year 2012. Without the effects of foreign exchange, operating income decreased 31.2% and 18.1% for the quarter and six months, respectively, as increases in operating expenses more than offset gross profit associated with revenue growth due to product mix and higher costs of quality.</w:t>
      </w:r>
    </w:p>
    <w:p>
      <w:pPr>
        <w:spacing w:after="0" w:line="6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Net income decreased 35.0% and 21.5% for the second quarter and first six months, respectively, of fiscal year 2012 over the comparable periods of fiscal year 2011. Without the effects of foreign exchange which accounted for a decrease in net income of 3.3% and 1.8% for the quarter and six months, respectively, net income decreased 31.7% and 19.7% for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quarter and six months ended October 1, 2011. The decrease in net income was attributable to the decline in operating income described above.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Geography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760"/>
              <w:spacing w:after="0"/>
              <w:rPr>
                <w:sz w:val="20"/>
                <w:szCs w:val="20"/>
                <w:color w:val="auto"/>
              </w:rPr>
            </w:pPr>
            <w:r>
              <w:rPr>
                <w:rFonts w:ascii="Arial" w:cs="Arial" w:eastAsia="Arial" w:hAnsi="Arial"/>
                <w:sz w:val="14"/>
                <w:szCs w:val="14"/>
                <w:color w:val="auto"/>
              </w:rPr>
              <w:t>Three Months Ended</w:t>
            </w:r>
          </w:p>
        </w:tc>
        <w:tc>
          <w:tcPr>
            <w:tcW w:w="1740" w:type="dxa"/>
            <w:vAlign w:val="bottom"/>
            <w:gridSpan w:val="3"/>
            <w:vMerge w:val="restart"/>
          </w:tcPr>
          <w:p>
            <w:pPr>
              <w:jc w:val="center"/>
              <w:ind w:right="380"/>
              <w:spacing w:after="0"/>
              <w:rPr>
                <w:sz w:val="20"/>
                <w:szCs w:val="20"/>
                <w:color w:val="auto"/>
              </w:rPr>
            </w:pPr>
            <w:r>
              <w:rPr>
                <w:rFonts w:ascii="Arial" w:cs="Arial" w:eastAsia="Arial" w:hAnsi="Arial"/>
                <w:sz w:val="14"/>
                <w:szCs w:val="14"/>
                <w:color w:val="auto"/>
                <w:w w:val="91"/>
              </w:rPr>
              <w:t>% Increase/</w:t>
            </w:r>
          </w:p>
        </w:tc>
        <w:tc>
          <w:tcPr>
            <w:tcW w:w="2420" w:type="dxa"/>
            <w:vAlign w:val="bottom"/>
            <w:gridSpan w:val="4"/>
          </w:tcPr>
          <w:p>
            <w:pPr>
              <w:jc w:val="right"/>
              <w:ind w:right="840"/>
              <w:spacing w:after="0"/>
              <w:rPr>
                <w:sz w:val="20"/>
                <w:szCs w:val="20"/>
                <w:color w:val="auto"/>
              </w:rPr>
            </w:pPr>
            <w:r>
              <w:rPr>
                <w:rFonts w:ascii="Arial" w:cs="Arial" w:eastAsia="Arial" w:hAnsi="Arial"/>
                <w:sz w:val="14"/>
                <w:szCs w:val="14"/>
                <w:color w:val="auto"/>
              </w:rPr>
              <w:t>Six Months Ended</w:t>
            </w:r>
          </w:p>
        </w:tc>
        <w:tc>
          <w:tcPr>
            <w:tcW w:w="1180" w:type="dxa"/>
            <w:vAlign w:val="bottom"/>
            <w:gridSpan w:val="3"/>
            <w:vMerge w:val="restart"/>
          </w:tcPr>
          <w:p>
            <w:pPr>
              <w:jc w:val="center"/>
              <w:ind w:left="94"/>
              <w:spacing w:after="0"/>
              <w:rPr>
                <w:sz w:val="20"/>
                <w:szCs w:val="20"/>
                <w:color w:val="auto"/>
              </w:rPr>
            </w:pPr>
            <w:r>
              <w:rPr>
                <w:rFonts w:ascii="Arial" w:cs="Arial" w:eastAsia="Arial" w:hAnsi="Arial"/>
                <w:sz w:val="14"/>
                <w:szCs w:val="14"/>
                <w:color w:val="auto"/>
                <w:w w:val="91"/>
              </w:rPr>
              <w:t>% Increase/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40" w:type="dxa"/>
            <w:vAlign w:val="bottom"/>
            <w:tcBorders>
              <w:top w:val="single" w:sz="8" w:color="auto"/>
            </w:tcBorders>
            <w:gridSpan w:val="3"/>
          </w:tcPr>
          <w:p>
            <w:pPr>
              <w:jc w:val="center"/>
              <w:ind w:right="340"/>
              <w:spacing w:after="0" w:line="123" w:lineRule="exact"/>
              <w:rPr>
                <w:sz w:val="20"/>
                <w:szCs w:val="20"/>
                <w:color w:val="auto"/>
              </w:rPr>
            </w:pPr>
            <w:r>
              <w:rPr>
                <w:rFonts w:ascii="Arial" w:cs="Arial" w:eastAsia="Arial" w:hAnsi="Arial"/>
                <w:sz w:val="14"/>
                <w:szCs w:val="14"/>
                <w:color w:val="auto"/>
                <w:w w:val="94"/>
              </w:rPr>
              <w:t>October 1,</w:t>
            </w:r>
          </w:p>
        </w:tc>
        <w:tc>
          <w:tcPr>
            <w:tcW w:w="3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7"/>
              </w:rPr>
              <w:t>October 2,</w:t>
            </w:r>
          </w:p>
        </w:tc>
        <w:tc>
          <w:tcPr>
            <w:tcW w:w="340" w:type="dxa"/>
            <w:vAlign w:val="bottom"/>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1380" w:type="dxa"/>
            <w:vAlign w:val="bottom"/>
            <w:tcBorders>
              <w:top w:val="single" w:sz="8" w:color="auto"/>
            </w:tcBorders>
            <w:gridSpan w:val="2"/>
          </w:tcPr>
          <w:p>
            <w:pPr>
              <w:jc w:val="center"/>
              <w:ind w:right="660"/>
              <w:spacing w:after="0" w:line="123" w:lineRule="exact"/>
              <w:rPr>
                <w:sz w:val="20"/>
                <w:szCs w:val="20"/>
                <w:color w:val="auto"/>
              </w:rPr>
            </w:pPr>
            <w:r>
              <w:rPr>
                <w:rFonts w:ascii="Arial" w:cs="Arial" w:eastAsia="Arial" w:hAnsi="Arial"/>
                <w:sz w:val="14"/>
                <w:szCs w:val="14"/>
                <w:color w:val="auto"/>
                <w:w w:val="91"/>
              </w:rPr>
              <w:t>October 1,</w:t>
            </w: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7"/>
              </w:rPr>
              <w:t>October 2,</w:t>
            </w:r>
          </w:p>
        </w:tc>
        <w:tc>
          <w:tcPr>
            <w:tcW w:w="34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2011</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(Decrease)</w:t>
            </w:r>
          </w:p>
        </w:tc>
        <w:tc>
          <w:tcPr>
            <w:tcW w:w="720" w:type="dxa"/>
            <w:vAlign w:val="bottom"/>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2011</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(Decrease)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86,339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78,740</w:t>
            </w: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9.7%</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$ 172,734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$ 158,049</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International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93,106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88,093</w:t>
            </w:r>
          </w:p>
        </w:tc>
        <w:tc>
          <w:tcPr>
            <w:tcW w:w="1740" w:type="dxa"/>
            <w:vAlign w:val="bottom"/>
            <w:gridSpan w:val="3"/>
          </w:tcPr>
          <w:p>
            <w:pPr>
              <w:jc w:val="right"/>
              <w:ind w:right="580"/>
              <w:spacing w:after="0"/>
              <w:rPr>
                <w:sz w:val="20"/>
                <w:szCs w:val="20"/>
                <w:color w:val="auto"/>
              </w:rPr>
            </w:pPr>
            <w:r>
              <w:rPr>
                <w:rFonts w:ascii="Arial" w:cs="Arial" w:eastAsia="Arial" w:hAnsi="Arial"/>
                <w:sz w:val="18"/>
                <w:szCs w:val="18"/>
                <w:color w:val="auto"/>
              </w:rPr>
              <w:t>5.7%</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177,280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171,823</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179,445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166,833</w:t>
            </w: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7.6%</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$ 350,014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$ 329,872</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and the Impact of Foreign Exchange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more than 80 countries around the world through a combination of our direct sales force and independent distributors and agents.</w:t>
      </w:r>
    </w:p>
    <w:p>
      <w:pPr>
        <w:spacing w:after="0" w:line="6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revenues generated outside the U.S. approximated 51% of net revenues for the first six months of fiscal year 2012 and 2011. Revenues in Japan accounted for approximately 16.9% and 16.5% of total revenues for the first six months of fiscal year 2012 and 2011, respectively. Revenues in Europe accounted for approximately 26.0% and 26.8% of net revenues for the first six months of fiscal year 2012 and 2011, respectively. International sales are generally conducted in local currencies, primarily the Japanese Yen and the Euro. As discussed above, our results of operations are impacted by changes in the value of the Yen and the Euro relative to the U.S. Dollar.</w:t>
      </w:r>
    </w:p>
    <w:p>
      <w:pPr>
        <w:spacing w:after="0" w:line="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 by Product Type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gridSpan w:val="5"/>
          </w:tcPr>
          <w:p>
            <w:pPr>
              <w:jc w:val="right"/>
              <w:ind w:right="1080"/>
              <w:spacing w:after="0"/>
              <w:rPr>
                <w:sz w:val="20"/>
                <w:szCs w:val="20"/>
                <w:color w:val="auto"/>
              </w:rPr>
            </w:pPr>
            <w:r>
              <w:rPr>
                <w:rFonts w:ascii="Arial" w:cs="Arial" w:eastAsia="Arial" w:hAnsi="Arial"/>
                <w:sz w:val="14"/>
                <w:szCs w:val="14"/>
                <w:color w:val="auto"/>
              </w:rPr>
              <w:t>Three Months Ended</w:t>
            </w:r>
          </w:p>
        </w:tc>
        <w:tc>
          <w:tcPr>
            <w:tcW w:w="1400" w:type="dxa"/>
            <w:vAlign w:val="bottom"/>
            <w:gridSpan w:val="2"/>
            <w:vMerge w:val="restart"/>
          </w:tcPr>
          <w:p>
            <w:pPr>
              <w:jc w:val="center"/>
              <w:ind w:right="720"/>
              <w:spacing w:after="0"/>
              <w:rPr>
                <w:sz w:val="20"/>
                <w:szCs w:val="20"/>
                <w:color w:val="auto"/>
              </w:rPr>
            </w:pPr>
            <w:r>
              <w:rPr>
                <w:rFonts w:ascii="Arial" w:cs="Arial" w:eastAsia="Arial" w:hAnsi="Arial"/>
                <w:sz w:val="14"/>
                <w:szCs w:val="14"/>
                <w:color w:val="auto"/>
                <w:w w:val="91"/>
              </w:rPr>
              <w:t>% Increase/</w:t>
            </w:r>
          </w:p>
        </w:tc>
        <w:tc>
          <w:tcPr>
            <w:tcW w:w="2400" w:type="dxa"/>
            <w:vAlign w:val="bottom"/>
            <w:gridSpan w:val="4"/>
          </w:tcPr>
          <w:p>
            <w:pPr>
              <w:jc w:val="right"/>
              <w:ind w:right="840"/>
              <w:spacing w:after="0"/>
              <w:rPr>
                <w:sz w:val="20"/>
                <w:szCs w:val="20"/>
                <w:color w:val="auto"/>
              </w:rPr>
            </w:pPr>
            <w:r>
              <w:rPr>
                <w:rFonts w:ascii="Arial" w:cs="Arial" w:eastAsia="Arial" w:hAnsi="Arial"/>
                <w:sz w:val="14"/>
                <w:szCs w:val="14"/>
                <w:color w:val="auto"/>
              </w:rPr>
              <w:t>Six Months Ended</w:t>
            </w:r>
          </w:p>
        </w:tc>
        <w:tc>
          <w:tcPr>
            <w:tcW w:w="1220" w:type="dxa"/>
            <w:vAlign w:val="bottom"/>
            <w:gridSpan w:val="3"/>
            <w:vMerge w:val="restart"/>
          </w:tcPr>
          <w:p>
            <w:pPr>
              <w:jc w:val="center"/>
              <w:ind w:left="14"/>
              <w:spacing w:after="0"/>
              <w:rPr>
                <w:sz w:val="20"/>
                <w:szCs w:val="20"/>
                <w:color w:val="auto"/>
              </w:rPr>
            </w:pPr>
            <w:r>
              <w:rPr>
                <w:rFonts w:ascii="Arial" w:cs="Arial" w:eastAsia="Arial" w:hAnsi="Arial"/>
                <w:sz w:val="14"/>
                <w:szCs w:val="14"/>
                <w:color w:val="auto"/>
                <w:w w:val="91"/>
              </w:rPr>
              <w:t>% Increase/</w:t>
            </w:r>
          </w:p>
        </w:tc>
        <w:tc>
          <w:tcPr>
            <w:tcW w:w="0" w:type="dxa"/>
            <w:vAlign w:val="bottom"/>
          </w:tcPr>
          <w:p>
            <w:pPr>
              <w:spacing w:after="0"/>
              <w:rPr>
                <w:sz w:val="1"/>
                <w:szCs w:val="1"/>
                <w:color w:val="auto"/>
              </w:rPr>
            </w:pPr>
          </w:p>
        </w:tc>
      </w:tr>
      <w:tr>
        <w:trPr>
          <w:trHeight w:val="123"/>
        </w:trPr>
        <w:tc>
          <w:tcPr>
            <w:tcW w:w="2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380"/>
              <w:spacing w:after="0" w:line="123" w:lineRule="exact"/>
              <w:rPr>
                <w:sz w:val="20"/>
                <w:szCs w:val="20"/>
                <w:color w:val="auto"/>
              </w:rPr>
            </w:pPr>
            <w:r>
              <w:rPr>
                <w:rFonts w:ascii="Arial" w:cs="Arial" w:eastAsia="Arial" w:hAnsi="Arial"/>
                <w:sz w:val="14"/>
                <w:szCs w:val="14"/>
                <w:color w:val="auto"/>
                <w:w w:val="97"/>
              </w:rPr>
              <w:t>October 1,</w:t>
            </w:r>
          </w:p>
        </w:tc>
        <w:tc>
          <w:tcPr>
            <w:tcW w:w="3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October 2,</w:t>
            </w:r>
          </w:p>
        </w:tc>
        <w:tc>
          <w:tcPr>
            <w:tcW w:w="66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360" w:type="dxa"/>
            <w:vAlign w:val="bottom"/>
            <w:tcBorders>
              <w:top w:val="single" w:sz="8" w:color="auto"/>
            </w:tcBorders>
            <w:gridSpan w:val="2"/>
          </w:tcPr>
          <w:p>
            <w:pPr>
              <w:jc w:val="right"/>
              <w:ind w:right="700"/>
              <w:spacing w:after="0" w:line="123" w:lineRule="exact"/>
              <w:rPr>
                <w:sz w:val="20"/>
                <w:szCs w:val="20"/>
                <w:color w:val="auto"/>
              </w:rPr>
            </w:pPr>
            <w:r>
              <w:rPr>
                <w:rFonts w:ascii="Arial" w:cs="Arial" w:eastAsia="Arial" w:hAnsi="Arial"/>
                <w:sz w:val="14"/>
                <w:szCs w:val="14"/>
                <w:color w:val="auto"/>
                <w:w w:val="97"/>
              </w:rPr>
              <w:t>October 1,</w:t>
            </w: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7"/>
              </w:rPr>
              <w:t>October 2,</w:t>
            </w:r>
          </w:p>
        </w:tc>
        <w:tc>
          <w:tcPr>
            <w:tcW w:w="3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4"/>
                <w:szCs w:val="14"/>
                <w:color w:val="auto"/>
              </w:rPr>
            </w:pPr>
          </w:p>
        </w:tc>
        <w:tc>
          <w:tcPr>
            <w:tcW w:w="7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2011</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c>
          <w:tcPr>
            <w:tcW w:w="720" w:type="dxa"/>
            <w:vAlign w:val="bottom"/>
          </w:tcPr>
          <w:p>
            <w:pPr>
              <w:spacing w:after="0"/>
              <w:rPr>
                <w:sz w:val="14"/>
                <w:szCs w:val="14"/>
                <w:color w:val="auto"/>
              </w:rPr>
            </w:pPr>
          </w:p>
        </w:tc>
        <w:tc>
          <w:tcPr>
            <w:tcW w:w="7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2011</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Disposables</w:t>
            </w:r>
          </w:p>
        </w:tc>
        <w:tc>
          <w:tcPr>
            <w:tcW w:w="2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$ 147,408</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$ 136,493</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$ 288,456</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$ 270,057</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Software solutions</w:t>
            </w:r>
          </w:p>
        </w:tc>
        <w:tc>
          <w:tcPr>
            <w:tcW w:w="2180" w:type="dxa"/>
            <w:vAlign w:val="bottom"/>
            <w:gridSpan w:val="3"/>
          </w:tcPr>
          <w:p>
            <w:pPr>
              <w:jc w:val="right"/>
              <w:ind w:right="340"/>
              <w:spacing w:after="0"/>
              <w:rPr>
                <w:sz w:val="20"/>
                <w:szCs w:val="20"/>
                <w:color w:val="auto"/>
              </w:rPr>
            </w:pPr>
            <w:r>
              <w:rPr>
                <w:rFonts w:ascii="Arial" w:cs="Arial" w:eastAsia="Arial" w:hAnsi="Arial"/>
                <w:sz w:val="18"/>
                <w:szCs w:val="18"/>
                <w:color w:val="auto"/>
              </w:rPr>
              <w:t>17,199</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16,125</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6.7%</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35,359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32,585</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Equipment &amp; other</w:t>
            </w:r>
          </w:p>
        </w:tc>
        <w:tc>
          <w:tcPr>
            <w:tcW w:w="1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14,838</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14,215</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26,199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27,230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1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$ 179,445</w:t>
            </w:r>
          </w:p>
        </w:tc>
        <w:tc>
          <w:tcPr>
            <w:tcW w:w="34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$ 166,833</w:t>
            </w:r>
          </w:p>
        </w:tc>
        <w:tc>
          <w:tcPr>
            <w:tcW w:w="660" w:type="dxa"/>
            <w:vAlign w:val="bottom"/>
            <w:vMerge w:val="continue"/>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7.6%</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$ 350,014</w:t>
            </w:r>
          </w:p>
        </w:tc>
        <w:tc>
          <w:tcPr>
            <w:tcW w:w="6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$ 329,872</w:t>
            </w:r>
          </w:p>
        </w:tc>
        <w:tc>
          <w:tcPr>
            <w:tcW w:w="34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5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Disposable Revenues by Product Type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ind w:left="320"/>
              <w:spacing w:after="0"/>
              <w:rPr>
                <w:sz w:val="20"/>
                <w:szCs w:val="20"/>
                <w:color w:val="auto"/>
              </w:rPr>
            </w:pPr>
            <w:r>
              <w:rPr>
                <w:rFonts w:ascii="Arial" w:cs="Arial" w:eastAsia="Arial" w:hAnsi="Arial"/>
                <w:sz w:val="14"/>
                <w:szCs w:val="14"/>
                <w:color w:val="auto"/>
              </w:rPr>
              <w:t>Three Months Ended</w:t>
            </w:r>
          </w:p>
        </w:tc>
        <w:tc>
          <w:tcPr>
            <w:tcW w:w="1780" w:type="dxa"/>
            <w:vAlign w:val="bottom"/>
            <w:gridSpan w:val="3"/>
            <w:vMerge w:val="restart"/>
          </w:tcPr>
          <w:p>
            <w:pPr>
              <w:jc w:val="center"/>
              <w:ind w:right="420"/>
              <w:spacing w:after="0"/>
              <w:rPr>
                <w:sz w:val="20"/>
                <w:szCs w:val="20"/>
                <w:color w:val="auto"/>
              </w:rPr>
            </w:pPr>
            <w:r>
              <w:rPr>
                <w:rFonts w:ascii="Arial" w:cs="Arial" w:eastAsia="Arial" w:hAnsi="Arial"/>
                <w:sz w:val="14"/>
                <w:szCs w:val="14"/>
                <w:color w:val="auto"/>
                <w:w w:val="91"/>
              </w:rPr>
              <w:t>% Increase/</w:t>
            </w:r>
          </w:p>
        </w:tc>
        <w:tc>
          <w:tcPr>
            <w:tcW w:w="100" w:type="dxa"/>
            <w:vAlign w:val="bottom"/>
          </w:tcPr>
          <w:p>
            <w:pPr>
              <w:spacing w:after="0"/>
              <w:rPr>
                <w:sz w:val="14"/>
                <w:szCs w:val="14"/>
                <w:color w:val="auto"/>
              </w:rPr>
            </w:pPr>
          </w:p>
        </w:tc>
        <w:tc>
          <w:tcPr>
            <w:tcW w:w="2300" w:type="dxa"/>
            <w:vAlign w:val="bottom"/>
            <w:gridSpan w:val="5"/>
          </w:tcPr>
          <w:p>
            <w:pPr>
              <w:jc w:val="right"/>
              <w:ind w:right="840"/>
              <w:spacing w:after="0"/>
              <w:rPr>
                <w:sz w:val="20"/>
                <w:szCs w:val="20"/>
                <w:color w:val="auto"/>
              </w:rPr>
            </w:pPr>
            <w:r>
              <w:rPr>
                <w:rFonts w:ascii="Arial" w:cs="Arial" w:eastAsia="Arial" w:hAnsi="Arial"/>
                <w:sz w:val="14"/>
                <w:szCs w:val="14"/>
                <w:color w:val="auto"/>
              </w:rPr>
              <w:t>Six Months Ended</w:t>
            </w:r>
          </w:p>
        </w:tc>
        <w:tc>
          <w:tcPr>
            <w:tcW w:w="1220" w:type="dxa"/>
            <w:vAlign w:val="bottom"/>
            <w:gridSpan w:val="3"/>
            <w:vMerge w:val="restart"/>
          </w:tcPr>
          <w:p>
            <w:pPr>
              <w:jc w:val="center"/>
              <w:ind w:left="12"/>
              <w:spacing w:after="0"/>
              <w:rPr>
                <w:sz w:val="20"/>
                <w:szCs w:val="20"/>
                <w:color w:val="auto"/>
              </w:rPr>
            </w:pPr>
            <w:r>
              <w:rPr>
                <w:rFonts w:ascii="Arial" w:cs="Arial" w:eastAsia="Arial" w:hAnsi="Arial"/>
                <w:sz w:val="14"/>
                <w:szCs w:val="14"/>
                <w:color w:val="auto"/>
                <w:w w:val="91"/>
              </w:rPr>
              <w:t>% Increase/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80"/>
              <w:spacing w:after="0" w:line="123" w:lineRule="exact"/>
              <w:rPr>
                <w:sz w:val="20"/>
                <w:szCs w:val="20"/>
                <w:color w:val="auto"/>
              </w:rPr>
            </w:pPr>
            <w:r>
              <w:rPr>
                <w:rFonts w:ascii="Arial" w:cs="Arial" w:eastAsia="Arial" w:hAnsi="Arial"/>
                <w:sz w:val="14"/>
                <w:szCs w:val="14"/>
                <w:color w:val="auto"/>
                <w:w w:val="97"/>
              </w:rPr>
              <w:t>October 1,</w:t>
            </w:r>
          </w:p>
        </w:tc>
        <w:tc>
          <w:tcPr>
            <w:tcW w:w="3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4"/>
              </w:rPr>
              <w:t>October 2,</w:t>
            </w:r>
          </w:p>
        </w:tc>
        <w:tc>
          <w:tcPr>
            <w:tcW w:w="32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1360" w:type="dxa"/>
            <w:vAlign w:val="bottom"/>
            <w:tcBorders>
              <w:top w:val="single" w:sz="8" w:color="auto"/>
            </w:tcBorders>
            <w:gridSpan w:val="3"/>
          </w:tcPr>
          <w:p>
            <w:pPr>
              <w:jc w:val="right"/>
              <w:ind w:right="700"/>
              <w:spacing w:after="0" w:line="123" w:lineRule="exact"/>
              <w:rPr>
                <w:sz w:val="20"/>
                <w:szCs w:val="20"/>
                <w:color w:val="auto"/>
              </w:rPr>
            </w:pPr>
            <w:r>
              <w:rPr>
                <w:rFonts w:ascii="Arial" w:cs="Arial" w:eastAsia="Arial" w:hAnsi="Arial"/>
                <w:sz w:val="14"/>
                <w:szCs w:val="14"/>
                <w:color w:val="auto"/>
                <w:w w:val="97"/>
              </w:rPr>
              <w:t>October 1,</w:t>
            </w:r>
          </w:p>
        </w:tc>
        <w:tc>
          <w:tcPr>
            <w:tcW w:w="7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7"/>
              </w:rPr>
              <w:t>October 2,</w:t>
            </w:r>
          </w:p>
        </w:tc>
        <w:tc>
          <w:tcPr>
            <w:tcW w:w="3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2011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2010</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2011</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Plasma disposables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64,408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56,514</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127,168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112,431</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439"/>
        </w:trPr>
        <w:tc>
          <w:tcPr>
            <w:tcW w:w="2740" w:type="dxa"/>
            <w:vAlign w:val="bottom"/>
            <w:gridSpan w:val="2"/>
          </w:tcPr>
          <w:p>
            <w:pPr>
              <w:spacing w:after="0"/>
              <w:rPr>
                <w:sz w:val="20"/>
                <w:szCs w:val="20"/>
                <w:color w:val="auto"/>
              </w:rPr>
            </w:pPr>
            <w:r>
              <w:rPr>
                <w:rFonts w:ascii="Arial" w:cs="Arial" w:eastAsia="Arial" w:hAnsi="Arial"/>
                <w:sz w:val="18"/>
                <w:szCs w:val="18"/>
                <w:color w:val="auto"/>
              </w:rPr>
              <w:t>Blood center disposables</w:t>
            </w:r>
          </w:p>
        </w:tc>
        <w:tc>
          <w:tcPr>
            <w:tcW w:w="8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Platelet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42,195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39,746</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79,504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76,063</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Red cell</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11,645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11,294</w:t>
            </w: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23,514</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22,608</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53,840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51,040</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103,018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98,671</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39"/>
        </w:trPr>
        <w:tc>
          <w:tcPr>
            <w:tcW w:w="2740" w:type="dxa"/>
            <w:vAlign w:val="bottom"/>
            <w:gridSpan w:val="2"/>
          </w:tcPr>
          <w:p>
            <w:pPr>
              <w:spacing w:after="0"/>
              <w:rPr>
                <w:sz w:val="20"/>
                <w:szCs w:val="20"/>
                <w:color w:val="auto"/>
              </w:rPr>
            </w:pPr>
            <w:r>
              <w:rPr>
                <w:rFonts w:ascii="Arial" w:cs="Arial" w:eastAsia="Arial" w:hAnsi="Arial"/>
                <w:sz w:val="18"/>
                <w:szCs w:val="18"/>
                <w:color w:val="auto"/>
              </w:rPr>
              <w:t>Hospital disposables</w:t>
            </w:r>
          </w:p>
        </w:tc>
        <w:tc>
          <w:tcPr>
            <w:tcW w:w="8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Surgical</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16,011</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31,948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32,362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OrthoPAT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7,295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8,281</w:t>
            </w:r>
          </w:p>
        </w:tc>
        <w:tc>
          <w:tcPr>
            <w:tcW w:w="1780" w:type="dxa"/>
            <w:vAlign w:val="bottom"/>
            <w:gridSpan w:val="3"/>
          </w:tcPr>
          <w:p>
            <w:pPr>
              <w:jc w:val="right"/>
              <w:ind w:right="56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15,049</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17,238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Diagnostics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5,659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4,647</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9,355</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29,160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28,939</w:t>
            </w:r>
          </w:p>
        </w:tc>
        <w:tc>
          <w:tcPr>
            <w:tcW w:w="320" w:type="dxa"/>
            <w:vAlign w:val="bottom"/>
          </w:tcPr>
          <w:p>
            <w:pPr>
              <w:spacing w:after="0"/>
              <w:rPr>
                <w:sz w:val="19"/>
                <w:szCs w:val="19"/>
                <w:color w:val="auto"/>
              </w:rPr>
            </w:pPr>
          </w:p>
        </w:tc>
        <w:tc>
          <w:tcPr>
            <w:tcW w:w="1780" w:type="dxa"/>
            <w:vAlign w:val="bottom"/>
            <w:gridSpan w:val="3"/>
          </w:tcPr>
          <w:p>
            <w:pPr>
              <w:jc w:val="right"/>
              <w:ind w:right="620"/>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58,270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3"/>
              </w:rPr>
              <w:t>58,955</w:t>
            </w:r>
          </w:p>
        </w:tc>
        <w:tc>
          <w:tcPr>
            <w:tcW w:w="34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Total disposables revenue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147,408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136,493</w:t>
            </w:r>
          </w:p>
        </w:tc>
        <w:tc>
          <w:tcPr>
            <w:tcW w:w="17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288,456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270,057</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Disposables revenue increased 8.0% and 6.8% for the second quarter and first six months, respectively, of fiscal year 2012 over the comparable periods of fiscal year 2011. Foreign exchange resulted in an increase of 2.6% for the quarter and six months ended October 1, 2011. Without the effect of foreign exchange, disposables revenue increased 5.4% and 4.2% for the second quarter and first six months, respectively, of fiscal year 2012, driven primarily by increases in our plasma business as discussed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Plasma disposables revenue increased 14.0% and 13.1% for the second quarter and first six months, respectively, of fiscal year 2012 compared to the same periods in fiscal year 2011. Foreign exchange accounted for an increase of 1.2% and 1.3% for the quarter and six months, respectively, ended October 1, 2011. The remaining increase in plasma disposables revenue of 12.8% and 11.8% for the quarter and six months, respectively, is primarily attributable to increased plasma collections by our commercial fractionation customers in North America. We expect the strong growth in commercial collections to moderate over the balance of fiscal year 2012.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Center</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Blood center consists of disposables used to collect platelets and red cells. Platelet disposables revenue increased 6.2% and 4.5% for the second quarter and first six months, respectively, of fiscal year 2012 compared to the same periods in fiscal year 2011. Foreign exchange accounted for a revenue increase of</w:t>
      </w:r>
    </w:p>
    <w:p>
      <w:pPr>
        <w:ind w:right="140"/>
        <w:spacing w:after="0" w:line="253" w:lineRule="auto"/>
        <w:rPr>
          <w:sz w:val="20"/>
          <w:szCs w:val="20"/>
          <w:color w:val="auto"/>
        </w:rPr>
      </w:pPr>
      <w:r>
        <w:rPr>
          <w:rFonts w:ascii="Arial" w:cs="Arial" w:eastAsia="Arial" w:hAnsi="Arial"/>
          <w:sz w:val="18"/>
          <w:szCs w:val="18"/>
          <w:color w:val="auto"/>
        </w:rPr>
        <w:t>5.7% and 5.4%, from the second quarter and first six months, respectively, of fiscal year 2011 to the same periods of fiscal year 2012. Without the effect of foreign exchange, platelet disposable revenue increased 0.5% and decreased 0.9% for the quarter and six months, respectively, ended October 1, 2012. Sales growth in the second quarter included the benefit of quality issues experienced with a competitor’s device in Japan. We expect platelet disposable sales to remain relatively flat over the balance of fiscal year 2012 as emerging market growth is expected to be offset by competitive factors negatively impacting sales in mature international markets.</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Red cell disposables revenue increased 3.1% and 4.0% for the second quarter and first six months, respectively, of fiscal year 2012 compared to the same periods in fiscal year 2011. Foreign exchange accounted for a revenue increase of 0.3% and 0.4% from the second quarter and first six months, respectively, of fiscal year 2011 to the same periods of fiscal year 2012. The remaining increase of 2.8% and 3.6% for the quarter and six months, respectively, was driven by increased demand for red cells in North America.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Hospital consists of Surgical, OrthoPAT, and Diagnostics products. Surgical disposables revenue consists principally of the Cell Saver and cardioPAT products. Revenues from our surgical disposables increased 1.2% and decreased 1.3% for the second quarter and first six months, respectively, of fiscal year 2012 compared to the same periods in fiscal year 2011. Foreign exchange resulted in an increase in surgical disposables revenue of 2.7% and 3.1% for the quarter and six months, respectively, ended October 1, 2011. The decrease of 1.5% and 4.4% excluding the effect of foreign exchange for the second quarter and first six months of fiscal year 2012, respectively, was the result of a decrease in demand across our European and North American markets, driven primarily by competitive pressures, and market conditions resulting in fewer elective surgeries.</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Revenues from our OrthoPAT disposables decreased 11.9% and 12.7% for the second quarter and first six months, respectively, of fiscal year 2012 compared to the same periods in fiscal year 2011. Foreign exchange resulted in an increase in OrthoPAT disposables revenue of 1.7% and 1.8% for the quarter and six months, respectively. Without the effect of foreign currency, OrthoPAT disposables revenue decreased by 13.6% and 14.5% for the second quarter and first six months, respectively, of fiscal year 2012. Our voluntary recall of our OrthoPAT devices manufactured prior to 2002 initiated during the first quarter adversely impacted our business. We expect to complete the build of replacement devices in our fourth quarter. Accordingly, we expect this trend to continue but moderate in future periods.</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Diagnostics product revenue consists principally of the TEG products. Revenues from our diagnostics products increased 21.8% and 20.5% for the second quarter and first six months, respectively, of fiscal year 2012 compared to the same periods in fiscal year 2011. Currency exchange accounted for a decrease of 0.6% and 0.5% for the quarter and six months, respectively. Without the effect of currency, diagnostics product revenues increased by 22.4% and 21.0% for the quarter and six months, respectively. The revenue increase is due to continued adoption of our TEG equipment, including significant new business in emerging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Our software solutions revenues include sales of our information technology software platforms and consulting services. Software revenues increased 6.7% and 8.5% for the second quarter and first six months, respectively, of fiscal year 2012 over the comparable periods of fiscal year 2011. Foreign exchange resulted in a 0.2% and 1.6% increase for the quarter and six months, respectively, ended October 1, 2011. The remaining increase of 6.5% for the second quarter of fiscal 2012 was driven primarily by installed base growth in our SafeTraceTX and BloodTrack products. The increase for the six months ended October 1, 2011 also included the benefit of strong plasma-related sales growth in the first quarter of fiscal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&amp; Other</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equipment and other revenues include revenue from equipment sales, repairs performed under preventive maintenance contracts or emergency service visits, spare part sales, and various service and training programs. These revenues are primarily composed of equipment sales, which tend to vary from period-to-period more than our disposable business due to the timing of order patterns, particularly in our distribution markets. Equipment and other revenues increased 4.4% and decreased 3.8% for the second quarter and first six months, respectively of fiscal year 2012 over the comparable periods of fiscal year 2011. Foreign exchange resulted in a 1.7% and 2.8% increase for the quarter and six months ended October 1, 2011. Without the effect of currency exchange, the increase of 2.7% for the second quarter of fiscal 2012 was primarily driven by the positive impact of the timing of a key customer award in our distribution markets, offset by lower equipment sales to the military in North America. The decrease of 6.6% for the first six months of fiscal year 2012 was primarily driven by the decline in military orders noted as well as lower equipment sales in our distribution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20" w:type="dxa"/>
            <w:vAlign w:val="bottom"/>
          </w:tcPr>
          <w:p>
            <w:pPr>
              <w:spacing w:after="0"/>
              <w:rPr>
                <w:sz w:val="14"/>
                <w:szCs w:val="14"/>
                <w:color w:val="auto"/>
              </w:rPr>
            </w:pPr>
          </w:p>
        </w:tc>
        <w:tc>
          <w:tcPr>
            <w:tcW w:w="2480" w:type="dxa"/>
            <w:vAlign w:val="bottom"/>
            <w:gridSpan w:val="5"/>
          </w:tcPr>
          <w:p>
            <w:pPr>
              <w:jc w:val="right"/>
              <w:ind w:right="860"/>
              <w:spacing w:after="0"/>
              <w:rPr>
                <w:sz w:val="20"/>
                <w:szCs w:val="20"/>
                <w:color w:val="auto"/>
              </w:rPr>
            </w:pPr>
            <w:r>
              <w:rPr>
                <w:rFonts w:ascii="Arial" w:cs="Arial" w:eastAsia="Arial" w:hAnsi="Arial"/>
                <w:sz w:val="14"/>
                <w:szCs w:val="14"/>
                <w:color w:val="auto"/>
              </w:rPr>
              <w:t>Three Months Ended</w:t>
            </w:r>
          </w:p>
        </w:tc>
        <w:tc>
          <w:tcPr>
            <w:tcW w:w="1640" w:type="dxa"/>
            <w:vAlign w:val="bottom"/>
            <w:gridSpan w:val="3"/>
            <w:vMerge w:val="restart"/>
          </w:tcPr>
          <w:p>
            <w:pPr>
              <w:jc w:val="center"/>
              <w:ind w:right="440"/>
              <w:spacing w:after="0"/>
              <w:rPr>
                <w:sz w:val="20"/>
                <w:szCs w:val="20"/>
                <w:color w:val="auto"/>
              </w:rPr>
            </w:pPr>
            <w:r>
              <w:rPr>
                <w:rFonts w:ascii="Arial" w:cs="Arial" w:eastAsia="Arial" w:hAnsi="Arial"/>
                <w:sz w:val="14"/>
                <w:szCs w:val="14"/>
                <w:color w:val="auto"/>
                <w:w w:val="91"/>
              </w:rPr>
              <w:t>% Increase/</w:t>
            </w:r>
          </w:p>
        </w:tc>
        <w:tc>
          <w:tcPr>
            <w:tcW w:w="2560" w:type="dxa"/>
            <w:vAlign w:val="bottom"/>
            <w:gridSpan w:val="4"/>
          </w:tcPr>
          <w:p>
            <w:pPr>
              <w:jc w:val="right"/>
              <w:ind w:right="960"/>
              <w:spacing w:after="0"/>
              <w:rPr>
                <w:sz w:val="20"/>
                <w:szCs w:val="20"/>
                <w:color w:val="auto"/>
              </w:rPr>
            </w:pPr>
            <w:r>
              <w:rPr>
                <w:rFonts w:ascii="Arial" w:cs="Arial" w:eastAsia="Arial" w:hAnsi="Arial"/>
                <w:sz w:val="14"/>
                <w:szCs w:val="14"/>
                <w:color w:val="auto"/>
              </w:rPr>
              <w:t>Six Months Ended</w:t>
            </w:r>
          </w:p>
        </w:tc>
        <w:tc>
          <w:tcPr>
            <w:tcW w:w="1120" w:type="dxa"/>
            <w:vAlign w:val="bottom"/>
            <w:gridSpan w:val="3"/>
            <w:vMerge w:val="restart"/>
          </w:tcPr>
          <w:p>
            <w:pPr>
              <w:jc w:val="center"/>
              <w:ind w:left="48"/>
              <w:spacing w:after="0"/>
              <w:rPr>
                <w:sz w:val="20"/>
                <w:szCs w:val="20"/>
                <w:color w:val="auto"/>
              </w:rPr>
            </w:pPr>
            <w:r>
              <w:rPr>
                <w:rFonts w:ascii="Arial" w:cs="Arial" w:eastAsia="Arial" w:hAnsi="Arial"/>
                <w:sz w:val="14"/>
                <w:szCs w:val="14"/>
                <w:color w:val="auto"/>
                <w:w w:val="91"/>
              </w:rPr>
              <w:t>% Increase/</w:t>
            </w: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1100" w:type="dxa"/>
            <w:vAlign w:val="bottom"/>
            <w:tcBorders>
              <w:top w:val="single" w:sz="8" w:color="auto"/>
            </w:tcBorders>
            <w:gridSpan w:val="2"/>
          </w:tcPr>
          <w:p>
            <w:pPr>
              <w:jc w:val="right"/>
              <w:ind w:right="460"/>
              <w:spacing w:after="0" w:line="123" w:lineRule="exact"/>
              <w:rPr>
                <w:sz w:val="20"/>
                <w:szCs w:val="20"/>
                <w:color w:val="auto"/>
              </w:rPr>
            </w:pPr>
            <w:r>
              <w:rPr>
                <w:rFonts w:ascii="Arial" w:cs="Arial" w:eastAsia="Arial" w:hAnsi="Arial"/>
                <w:sz w:val="14"/>
                <w:szCs w:val="14"/>
                <w:color w:val="auto"/>
                <w:w w:val="94"/>
              </w:rPr>
              <w:t>October 1,</w:t>
            </w:r>
          </w:p>
        </w:tc>
        <w:tc>
          <w:tcPr>
            <w:tcW w:w="2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4"/>
              </w:rPr>
              <w:t>October 2,</w:t>
            </w:r>
          </w:p>
        </w:tc>
        <w:tc>
          <w:tcPr>
            <w:tcW w:w="440" w:type="dxa"/>
            <w:vAlign w:val="bottom"/>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1420" w:type="dxa"/>
            <w:vAlign w:val="bottom"/>
            <w:tcBorders>
              <w:top w:val="single" w:sz="8" w:color="auto"/>
            </w:tcBorders>
            <w:gridSpan w:val="2"/>
          </w:tcPr>
          <w:p>
            <w:pPr>
              <w:jc w:val="center"/>
              <w:ind w:right="700"/>
              <w:spacing w:after="0" w:line="123" w:lineRule="exact"/>
              <w:rPr>
                <w:sz w:val="20"/>
                <w:szCs w:val="20"/>
                <w:color w:val="auto"/>
              </w:rPr>
            </w:pPr>
            <w:r>
              <w:rPr>
                <w:rFonts w:ascii="Arial" w:cs="Arial" w:eastAsia="Arial" w:hAnsi="Arial"/>
                <w:sz w:val="14"/>
                <w:szCs w:val="14"/>
                <w:color w:val="auto"/>
                <w:w w:val="91"/>
              </w:rPr>
              <w:t>October 1,</w:t>
            </w: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7"/>
              </w:rPr>
              <w:t>October 2,</w:t>
            </w:r>
          </w:p>
        </w:tc>
        <w:tc>
          <w:tcPr>
            <w:tcW w:w="4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2011</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2010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c>
          <w:tcPr>
            <w:tcW w:w="7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2011</w:t>
            </w:r>
          </w:p>
        </w:tc>
        <w:tc>
          <w:tcPr>
            <w:tcW w:w="720" w:type="dxa"/>
            <w:vAlign w:val="bottom"/>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2010</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(Decrease)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620" w:type="dxa"/>
            <w:vAlign w:val="bottom"/>
          </w:tcPr>
          <w:p>
            <w:pPr>
              <w:spacing w:after="0" w:line="195" w:lineRule="exact"/>
              <w:rPr>
                <w:sz w:val="20"/>
                <w:szCs w:val="20"/>
                <w:color w:val="auto"/>
              </w:rPr>
            </w:pPr>
            <w:r>
              <w:rPr>
                <w:rFonts w:ascii="Arial" w:cs="Arial" w:eastAsia="Arial" w:hAnsi="Arial"/>
                <w:sz w:val="18"/>
                <w:szCs w:val="18"/>
                <w:color w:val="auto"/>
              </w:rPr>
              <w:t>Gross profit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w w:val="91"/>
              </w:rPr>
              <w:t>$ 89,949</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w w:val="91"/>
              </w:rPr>
              <w:t>$ 87,755</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right"/>
              <w:ind w:right="540"/>
              <w:spacing w:after="0" w:line="195" w:lineRule="exact"/>
              <w:rPr>
                <w:sz w:val="20"/>
                <w:szCs w:val="20"/>
                <w:color w:val="auto"/>
              </w:rPr>
            </w:pPr>
            <w:r>
              <w:rPr>
                <w:rFonts w:ascii="Arial" w:cs="Arial" w:eastAsia="Arial" w:hAnsi="Arial"/>
                <w:sz w:val="18"/>
                <w:szCs w:val="18"/>
                <w:color w:val="auto"/>
              </w:rPr>
              <w:t>2.5%</w:t>
            </w:r>
          </w:p>
        </w:tc>
        <w:tc>
          <w:tcPr>
            <w:tcW w:w="700" w:type="dxa"/>
            <w:vAlign w:val="bottom"/>
          </w:tcPr>
          <w:p>
            <w:pPr>
              <w:jc w:val="center"/>
              <w:spacing w:after="0" w:line="195" w:lineRule="exact"/>
              <w:rPr>
                <w:sz w:val="20"/>
                <w:szCs w:val="20"/>
                <w:color w:val="auto"/>
              </w:rPr>
            </w:pPr>
            <w:r>
              <w:rPr>
                <w:rFonts w:ascii="Arial" w:cs="Arial" w:eastAsia="Arial" w:hAnsi="Arial"/>
                <w:sz w:val="18"/>
                <w:szCs w:val="18"/>
                <w:color w:val="auto"/>
                <w:w w:val="87"/>
              </w:rPr>
              <w:t>$ 178,698</w:t>
            </w:r>
          </w:p>
        </w:tc>
        <w:tc>
          <w:tcPr>
            <w:tcW w:w="720" w:type="dxa"/>
            <w:vAlign w:val="bottom"/>
          </w:tcPr>
          <w:p>
            <w:pPr>
              <w:spacing w:after="0"/>
              <w:rPr>
                <w:sz w:val="16"/>
                <w:szCs w:val="16"/>
                <w:color w:val="auto"/>
              </w:rPr>
            </w:pP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w w:val="84"/>
              </w:rPr>
              <w:t>$ 174,217</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 of net revenues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50.1%</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52.6%</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51.1%</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52.8%</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Gross profit increased 2.5% and 2.6% as compared to the second quarter and first six months, respectively, of fiscal year 2011. Without the effects of foreign exchange, which increased gross profit by 2.2% and 2.6% for the second quarter and first six months, respectively, of fiscal year 2012, gross profit increased 0.3% and was flat for the quarter and six months, respectively, ended October 1, 2011. Our gross profit margin decreased by 250 and 170 basis points for the three and six month periods ending October 1, 2011, respectively. The decrease was primarily due to increased product quality costs and product mix associated with lower sales of hospital products and higher plasma disposable sales. The increased product quality costs included the shipment of a higher cost substitute product for certain plasma disposable sales in Europe in response to customer complaints that we are currently addressing. For further discussion related to this matter, refer to the discussion under selling, general and administrative expense below. We expect the product quality and mix trends noted to continue to impact gross profit over the balance of fiscal year 2012.</w:t>
      </w:r>
    </w:p>
    <w:p>
      <w:pPr>
        <w:spacing w:after="0" w:line="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October 2011, a facility of one of our contract manufacturers was damaged by the recent floods in Thailand. We have worked with the contract manufacturer to transition the manufacturing of the products that were made in this facility to the contract manufacturer’s facility in Japan and our own manufacturing locations. We expect some higher costs associated with the transition. We currently do not expect material supply disruption to our customers. We are actively communicating with our customers about our continuity plans. However, customers may choose to mitigate their risk by leveraging alternate suppliers, which may negatively impact future sales and gross margins.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6"/>
          </w:tcPr>
          <w:p>
            <w:pPr>
              <w:jc w:val="right"/>
              <w:ind w:right="1160"/>
              <w:spacing w:after="0"/>
              <w:rPr>
                <w:sz w:val="20"/>
                <w:szCs w:val="20"/>
                <w:color w:val="auto"/>
              </w:rPr>
            </w:pPr>
            <w:r>
              <w:rPr>
                <w:rFonts w:ascii="Arial" w:cs="Arial" w:eastAsia="Arial" w:hAnsi="Arial"/>
                <w:sz w:val="14"/>
                <w:szCs w:val="14"/>
                <w:color w:val="auto"/>
              </w:rPr>
              <w:t>Three Months Ended</w:t>
            </w:r>
          </w:p>
        </w:tc>
        <w:tc>
          <w:tcPr>
            <w:tcW w:w="1400" w:type="dxa"/>
            <w:vAlign w:val="bottom"/>
            <w:gridSpan w:val="2"/>
            <w:vMerge w:val="restart"/>
          </w:tcPr>
          <w:p>
            <w:pPr>
              <w:jc w:val="center"/>
              <w:ind w:right="720"/>
              <w:spacing w:after="0"/>
              <w:rPr>
                <w:sz w:val="20"/>
                <w:szCs w:val="20"/>
                <w:color w:val="auto"/>
              </w:rPr>
            </w:pPr>
            <w:r>
              <w:rPr>
                <w:rFonts w:ascii="Arial" w:cs="Arial" w:eastAsia="Arial" w:hAnsi="Arial"/>
                <w:sz w:val="14"/>
                <w:szCs w:val="14"/>
                <w:color w:val="auto"/>
                <w:w w:val="91"/>
              </w:rPr>
              <w:t>% Increase/</w:t>
            </w:r>
          </w:p>
        </w:tc>
        <w:tc>
          <w:tcPr>
            <w:tcW w:w="100" w:type="dxa"/>
            <w:vAlign w:val="bottom"/>
          </w:tcPr>
          <w:p>
            <w:pPr>
              <w:spacing w:after="0"/>
              <w:rPr>
                <w:sz w:val="14"/>
                <w:szCs w:val="14"/>
                <w:color w:val="auto"/>
              </w:rPr>
            </w:pPr>
          </w:p>
        </w:tc>
        <w:tc>
          <w:tcPr>
            <w:tcW w:w="2500" w:type="dxa"/>
            <w:vAlign w:val="bottom"/>
            <w:gridSpan w:val="6"/>
          </w:tcPr>
          <w:p>
            <w:pPr>
              <w:jc w:val="right"/>
              <w:ind w:right="1000"/>
              <w:spacing w:after="0"/>
              <w:rPr>
                <w:sz w:val="20"/>
                <w:szCs w:val="20"/>
                <w:color w:val="auto"/>
              </w:rPr>
            </w:pPr>
            <w:r>
              <w:rPr>
                <w:rFonts w:ascii="Arial" w:cs="Arial" w:eastAsia="Arial" w:hAnsi="Arial"/>
                <w:sz w:val="14"/>
                <w:szCs w:val="14"/>
                <w:color w:val="auto"/>
              </w:rPr>
              <w:t>Six Months Ended</w:t>
            </w:r>
          </w:p>
        </w:tc>
        <w:tc>
          <w:tcPr>
            <w:tcW w:w="1160" w:type="dxa"/>
            <w:vAlign w:val="bottom"/>
            <w:gridSpan w:val="3"/>
            <w:vMerge w:val="restart"/>
          </w:tcPr>
          <w:p>
            <w:pPr>
              <w:jc w:val="center"/>
              <w:spacing w:after="0"/>
              <w:rPr>
                <w:sz w:val="20"/>
                <w:szCs w:val="20"/>
                <w:color w:val="auto"/>
              </w:rPr>
            </w:pPr>
            <w:r>
              <w:rPr>
                <w:rFonts w:ascii="Arial" w:cs="Arial" w:eastAsia="Arial" w:hAnsi="Arial"/>
                <w:sz w:val="14"/>
                <w:szCs w:val="14"/>
                <w:color w:val="auto"/>
                <w:w w:val="91"/>
              </w:rPr>
              <w:t>% Increase/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Borders>
              <w:top w:val="single" w:sz="8" w:color="auto"/>
            </w:tcBorders>
            <w:gridSpan w:val="3"/>
          </w:tcPr>
          <w:p>
            <w:pPr>
              <w:jc w:val="center"/>
              <w:ind w:right="480"/>
              <w:spacing w:after="0" w:line="123" w:lineRule="exact"/>
              <w:rPr>
                <w:sz w:val="20"/>
                <w:szCs w:val="20"/>
                <w:color w:val="auto"/>
              </w:rPr>
            </w:pPr>
            <w:r>
              <w:rPr>
                <w:rFonts w:ascii="Arial" w:cs="Arial" w:eastAsia="Arial" w:hAnsi="Arial"/>
                <w:sz w:val="14"/>
                <w:szCs w:val="14"/>
                <w:color w:val="auto"/>
                <w:w w:val="94"/>
              </w:rPr>
              <w:t>October 1,</w:t>
            </w:r>
          </w:p>
        </w:tc>
        <w:tc>
          <w:tcPr>
            <w:tcW w:w="2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4"/>
              </w:rPr>
              <w:t>October 2,</w:t>
            </w:r>
          </w:p>
        </w:tc>
        <w:tc>
          <w:tcPr>
            <w:tcW w:w="72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180" w:type="dxa"/>
            <w:vAlign w:val="bottom"/>
            <w:tcBorders>
              <w:top w:val="single" w:sz="8" w:color="auto"/>
            </w:tcBorders>
            <w:gridSpan w:val="3"/>
          </w:tcPr>
          <w:p>
            <w:pPr>
              <w:jc w:val="center"/>
              <w:ind w:right="460"/>
              <w:spacing w:after="0" w:line="123" w:lineRule="exact"/>
              <w:rPr>
                <w:sz w:val="20"/>
                <w:szCs w:val="20"/>
                <w:color w:val="auto"/>
              </w:rPr>
            </w:pPr>
            <w:r>
              <w:rPr>
                <w:rFonts w:ascii="Arial" w:cs="Arial" w:eastAsia="Arial" w:hAnsi="Arial"/>
                <w:sz w:val="14"/>
                <w:szCs w:val="14"/>
                <w:color w:val="auto"/>
                <w:w w:val="91"/>
              </w:rPr>
              <w:t>October 1,</w:t>
            </w:r>
          </w:p>
        </w:tc>
        <w:tc>
          <w:tcPr>
            <w:tcW w:w="2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7"/>
              </w:rPr>
              <w:t>October 2,</w:t>
            </w:r>
          </w:p>
        </w:tc>
        <w:tc>
          <w:tcPr>
            <w:tcW w:w="46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2010</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(Decrease)</w:t>
            </w: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2010</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10,350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7,954</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18,959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15,875</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 of net revenues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62,613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52,790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118,844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107,144</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 of net revenues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31.6%</w:t>
            </w: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34.0%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(1,894)</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(1,894)</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 of net revenues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71,383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58,850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136,223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121,125</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 of net revenues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39.8%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35.3%</w:t>
            </w: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36.7%</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Research and development expenses increased 30.1% and 19.4% for the second quarter and first six months, respectively, of fiscal year 2012 as compared to the same periods of fiscal year 2011. Foreign exchange resulted in an increase in research and development expense of 2.1% and 2.9% during the second quarter and first six months, respectively, of fiscal year 2012. Excluding the impact of foreign exchange, research and development expense increased 28.0% and 16.5% for the second quarter and six months, respectively, ended October 1, 2011. These increases were primarily related to the general increase in development programs in support of long-term product plans and near term quality improvements.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During the second quarter and first six months of fiscal year 2012, selling, general and administrative expenses increased 18.6% and 10.9%, respectively, compared to the same periods of fiscal year 2011. Foreign exchange resulted in an increase in selling, general and administrative expenses of 5.8% and 4.7% during the second quarter and first six months, respectively, of fiscal year 2012. Excluding the impact of foreign exchange, selling, general and administrative expense increased 12.8% and 6.2% for the second quarter and six months, respectively, ended October 1, 2011. These increases were attributable to</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$2.4 million of expenses associated with customer claims arising from a quality issue with a plasma disposable product, and increased investment in our worldwide sales and marketing organizations. These increases were partially offset by lower expense associated with cash bonus compensation for this fiscal year.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first quarter of fiscal 2012, we received customer complaints in Europe regarding a quality issue with our High Separation Core Bowl (“HS Core”), a plasma disposable product used primarily to collect plasma for transfusion. Certain of these customers have also made claims regarding financial losses alleged to have been incurred as a result of this matter. Total aggregate claims submitted to date by customers relating to this issue are approximately $8.5 million. We do not expect any additional material claims from our customers. We are in the process of evaluating the submitted claims and continue to work with affected customers to minimize disruption to their operations and ultimately determine the validity and resolution of the submitted claims. Although this process is not completed, we have determined that it is probable that we will compensate certain affected customers in order to resolve their claims. We believe our ultimate liability will be less than the total claims submitted to date. Our current best estimate of the liability associated with this matter is $2.4 million, and accordingly we have recorded this amount as an expense within selling, general and administrative expenses as of October 1, 2011. We cannot determine currently whether a liability greater than $2.4 million will ultimately be incurred. We are also in the process of determining the extent to which claims may be recoverable under the Company’s insurance policies. We do not currently believe that liabilities related to this matter will materially affect our consolidated financial position and liquidity.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Income</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Under the accounting rules for business combinations (specifically,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we established a liability for payments that we might make in the future to former shareholders of Neoteric that are tied to the performance of the Blood Track business for the first three years post acquisition, beginning with fiscal year 2010. We have reviewed the expected performance versus the necessary thresholds of performance for the former shareholders to receive additional performance payments and we recorded an adjustment to the fair value of the contingent consideration as contingent consideration income of $1.6 million and $1.9 million for the six months ended October 1, 2011 and October 2, 2010,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Other income, net, increased during the second quarter of fiscal year 2012 as compared to the same period of fiscal year 2011, primarily due to the reversal of $0.6 million of interest expense on contingent consideration related to the Neoteric acquisition. Other income, net decreased for the first six months of fiscal year 2012 as compared to the same period of fiscal year 2011, primarily due to an increase in foreign exchange transaction losses of foreign currency denominated assets offset by the reversal of net interest expense of $0.6 million on contingent consideration related to the Neoteric acquisition.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20" w:type="dxa"/>
            <w:vAlign w:val="bottom"/>
          </w:tcPr>
          <w:p>
            <w:pPr>
              <w:spacing w:after="0"/>
              <w:rPr>
                <w:sz w:val="14"/>
                <w:szCs w:val="14"/>
                <w:color w:val="auto"/>
              </w:rPr>
            </w:pPr>
          </w:p>
        </w:tc>
        <w:tc>
          <w:tcPr>
            <w:tcW w:w="2780" w:type="dxa"/>
            <w:vAlign w:val="bottom"/>
            <w:gridSpan w:val="4"/>
          </w:tcPr>
          <w:p>
            <w:pPr>
              <w:jc w:val="right"/>
              <w:ind w:right="1140"/>
              <w:spacing w:after="0"/>
              <w:rPr>
                <w:sz w:val="20"/>
                <w:szCs w:val="20"/>
                <w:color w:val="auto"/>
              </w:rPr>
            </w:pPr>
            <w:r>
              <w:rPr>
                <w:rFonts w:ascii="Arial" w:cs="Arial" w:eastAsia="Arial" w:hAnsi="Arial"/>
                <w:sz w:val="14"/>
                <w:szCs w:val="14"/>
                <w:color w:val="auto"/>
              </w:rPr>
              <w:t>Three Months Ended</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80" w:type="dxa"/>
            <w:vAlign w:val="bottom"/>
            <w:gridSpan w:val="4"/>
          </w:tcPr>
          <w:p>
            <w:pPr>
              <w:jc w:val="right"/>
              <w:ind w:right="1220"/>
              <w:spacing w:after="0"/>
              <w:rPr>
                <w:sz w:val="20"/>
                <w:szCs w:val="20"/>
                <w:color w:val="auto"/>
              </w:rPr>
            </w:pPr>
            <w:r>
              <w:rPr>
                <w:rFonts w:ascii="Arial" w:cs="Arial" w:eastAsia="Arial" w:hAnsi="Arial"/>
                <w:sz w:val="14"/>
                <w:szCs w:val="14"/>
                <w:color w:val="auto"/>
              </w:rPr>
              <w:t>Six Months Ended</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1400" w:type="dxa"/>
            <w:vAlign w:val="bottom"/>
            <w:tcBorders>
              <w:top w:val="single" w:sz="8" w:color="auto"/>
            </w:tcBorders>
            <w:gridSpan w:val="2"/>
          </w:tcPr>
          <w:p>
            <w:pPr>
              <w:jc w:val="center"/>
              <w:ind w:right="720"/>
              <w:spacing w:after="0" w:line="123" w:lineRule="exact"/>
              <w:rPr>
                <w:sz w:val="20"/>
                <w:szCs w:val="20"/>
                <w:color w:val="auto"/>
              </w:rPr>
            </w:pPr>
            <w:r>
              <w:rPr>
                <w:rFonts w:ascii="Arial" w:cs="Arial" w:eastAsia="Arial" w:hAnsi="Arial"/>
                <w:sz w:val="14"/>
                <w:szCs w:val="14"/>
                <w:color w:val="auto"/>
                <w:w w:val="91"/>
              </w:rPr>
              <w:t>October 1,</w:t>
            </w: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October 2,</w:t>
            </w: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0" w:type="dxa"/>
            <w:vAlign w:val="bottom"/>
            <w:tcBorders>
              <w:top w:val="single" w:sz="8" w:color="auto"/>
            </w:tcBorders>
            <w:gridSpan w:val="2"/>
          </w:tcPr>
          <w:p>
            <w:pPr>
              <w:jc w:val="center"/>
              <w:ind w:right="720"/>
              <w:spacing w:after="0" w:line="123" w:lineRule="exact"/>
              <w:rPr>
                <w:sz w:val="20"/>
                <w:szCs w:val="20"/>
                <w:color w:val="auto"/>
              </w:rPr>
            </w:pPr>
            <w:r>
              <w:rPr>
                <w:rFonts w:ascii="Arial" w:cs="Arial" w:eastAsia="Arial" w:hAnsi="Arial"/>
                <w:sz w:val="14"/>
                <w:szCs w:val="14"/>
                <w:color w:val="auto"/>
                <w:w w:val="91"/>
              </w:rPr>
              <w:t>October 1,</w:t>
            </w: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October 2,</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620" w:type="dxa"/>
            <w:vAlign w:val="bottom"/>
            <w:vMerge w:val="restart"/>
          </w:tcPr>
          <w:p>
            <w:pPr>
              <w:spacing w:after="0"/>
              <w:rPr>
                <w:sz w:val="20"/>
                <w:szCs w:val="20"/>
                <w:color w:val="auto"/>
              </w:rPr>
            </w:pPr>
            <w:r>
              <w:rPr>
                <w:rFonts w:ascii="Arial" w:cs="Arial" w:eastAsia="Arial" w:hAnsi="Arial"/>
                <w:sz w:val="18"/>
                <w:szCs w:val="18"/>
                <w:color w:val="auto"/>
              </w:rPr>
              <w:t>Reported income tax rate</w:t>
            </w:r>
          </w:p>
        </w:tc>
        <w:tc>
          <w:tcPr>
            <w:tcW w:w="6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color w:val="auto"/>
              </w:rPr>
              <w:t>2011</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2010</w:t>
            </w:r>
          </w:p>
        </w:tc>
        <w:tc>
          <w:tcPr>
            <w:tcW w:w="70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1"/>
              </w:rPr>
              <w:t>% Increase</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color w:val="auto"/>
              </w:rPr>
              <w:t>2011</w:t>
            </w:r>
          </w:p>
        </w:tc>
        <w:tc>
          <w:tcPr>
            <w:tcW w:w="720" w:type="dxa"/>
            <w:vAlign w:val="bottom"/>
          </w:tcPr>
          <w:p>
            <w:pPr>
              <w:spacing w:after="0"/>
              <w:rPr>
                <w:sz w:val="14"/>
                <w:szCs w:val="14"/>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2010</w:t>
            </w:r>
          </w:p>
        </w:tc>
        <w:tc>
          <w:tcPr>
            <w:tcW w:w="72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1"/>
              </w:rPr>
              <w:t>% Increase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620" w:type="dxa"/>
            <w:vAlign w:val="bottom"/>
            <w:vMerge w:val="continue"/>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27.0%</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26.8%</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27.8%</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26.7%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Company’s reported tax rate was 27.0% and 27.8% for the three and six month periods ended October 1, 2011, respectively. Our reported tax rate is lower than the federal statutory tax rate in both periods reported primarily due to lower foreign tax rates, including tax benefits associated with our Swiss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98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240" w:type="dxa"/>
            <w:vAlign w:val="bottom"/>
            <w:gridSpan w:val="3"/>
          </w:tcPr>
          <w:p>
            <w:pPr>
              <w:spacing w:after="0"/>
              <w:rPr>
                <w:sz w:val="20"/>
                <w:szCs w:val="20"/>
                <w:color w:val="auto"/>
              </w:rPr>
            </w:pPr>
            <w:r>
              <w:rPr>
                <w:rFonts w:ascii="Arial" w:cs="Arial" w:eastAsia="Arial" w:hAnsi="Arial"/>
                <w:sz w:val="14"/>
                <w:szCs w:val="14"/>
                <w:color w:val="auto"/>
              </w:rPr>
              <w:t>October 1, 2011</w:t>
            </w:r>
          </w:p>
        </w:tc>
        <w:tc>
          <w:tcPr>
            <w:tcW w:w="1200" w:type="dxa"/>
            <w:vAlign w:val="bottom"/>
            <w:gridSpan w:val="4"/>
          </w:tcPr>
          <w:p>
            <w:pPr>
              <w:ind w:left="340"/>
              <w:spacing w:after="0"/>
              <w:rPr>
                <w:sz w:val="20"/>
                <w:szCs w:val="20"/>
                <w:color w:val="auto"/>
              </w:rPr>
            </w:pPr>
            <w:r>
              <w:rPr>
                <w:rFonts w:ascii="Arial" w:cs="Arial" w:eastAsia="Arial" w:hAnsi="Arial"/>
                <w:sz w:val="14"/>
                <w:szCs w:val="14"/>
                <w:color w:val="auto"/>
              </w:rPr>
              <w:t>April 2, 2011</w:t>
            </w:r>
          </w:p>
        </w:tc>
      </w:tr>
      <w:tr>
        <w:trPr>
          <w:trHeight w:val="20"/>
        </w:trPr>
        <w:tc>
          <w:tcPr>
            <w:tcW w:w="8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183,421</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196,707</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Working capital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330,294</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340,160</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ratio</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Net cash position (1)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177,009</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191,828</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Days sales outstanding (DSO)</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Disposable finished goods inventory turnover</w:t>
            </w:r>
          </w:p>
        </w:tc>
        <w:tc>
          <w:tcPr>
            <w:tcW w:w="2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position is the sum of cash and cash equivalents less total debt.</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and option exercises. We believe these sources are sufficient to fund our cash requirements over the next twelve months, which are primarily capital expenditures and may include share repurchases under-future programs authorized by the Board of Directors at its discretion.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780"/>
              <w:spacing w:after="0"/>
              <w:rPr>
                <w:sz w:val="20"/>
                <w:szCs w:val="20"/>
                <w:color w:val="auto"/>
              </w:rPr>
            </w:pPr>
            <w:r>
              <w:rPr>
                <w:rFonts w:ascii="Arial" w:cs="Arial" w:eastAsia="Arial" w:hAnsi="Arial"/>
                <w:sz w:val="14"/>
                <w:szCs w:val="14"/>
                <w:color w:val="auto"/>
              </w:rPr>
              <w:t>Six Months Ended</w:t>
            </w:r>
          </w:p>
        </w:tc>
        <w:tc>
          <w:tcPr>
            <w:tcW w:w="320" w:type="dxa"/>
            <w:vAlign w:val="bottom"/>
          </w:tcPr>
          <w:p>
            <w:pPr>
              <w:spacing w:after="0"/>
              <w:rPr>
                <w:sz w:val="14"/>
                <w:szCs w:val="14"/>
                <w:color w:val="auto"/>
              </w:rPr>
            </w:pPr>
          </w:p>
        </w:tc>
        <w:tc>
          <w:tcPr>
            <w:tcW w:w="78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23"/>
        </w:trPr>
        <w:tc>
          <w:tcPr>
            <w:tcW w:w="7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tcBorders>
              <w:top w:val="single" w:sz="8" w:color="auto"/>
            </w:tcBorders>
            <w:gridSpan w:val="4"/>
          </w:tcPr>
          <w:p>
            <w:pPr>
              <w:jc w:val="right"/>
              <w:ind w:right="720"/>
              <w:spacing w:after="0" w:line="123" w:lineRule="exact"/>
              <w:rPr>
                <w:sz w:val="20"/>
                <w:szCs w:val="20"/>
                <w:color w:val="auto"/>
              </w:rPr>
            </w:pPr>
            <w:r>
              <w:rPr>
                <w:rFonts w:ascii="Arial" w:cs="Arial" w:eastAsia="Arial" w:hAnsi="Arial"/>
                <w:sz w:val="14"/>
                <w:szCs w:val="14"/>
                <w:color w:val="auto"/>
                <w:w w:val="94"/>
              </w:rPr>
              <w:t>October 1,</w:t>
            </w: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4"/>
              </w:rPr>
              <w:t>October 2,</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9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2010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w w:val="89"/>
              </w:rPr>
              <w:t>(Decrease)</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680"/>
              <w:spacing w:after="0"/>
              <w:rPr>
                <w:sz w:val="20"/>
                <w:szCs w:val="20"/>
                <w:color w:val="auto"/>
              </w:rPr>
            </w:pPr>
            <w:r>
              <w:rPr>
                <w:rFonts w:ascii="Arial" w:cs="Arial" w:eastAsia="Arial" w:hAnsi="Arial"/>
                <w:sz w:val="18"/>
                <w:szCs w:val="18"/>
                <w:color w:val="auto"/>
              </w:rPr>
              <w:t>52,539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44,286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2"/>
              </w:rPr>
              <w:t>(23,713)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(23,826)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8"/>
                <w:szCs w:val="18"/>
                <w:color w:val="auto"/>
                <w:w w:val="92"/>
              </w:rPr>
              <w:t>(41,753)</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(47,301)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5,548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 (1)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(13,286</w:t>
            </w:r>
          </w:p>
        </w:tc>
        <w:tc>
          <w:tcPr>
            <w:tcW w:w="680" w:type="dxa"/>
            <w:vAlign w:val="bottom"/>
            <w:gridSpan w:val="2"/>
          </w:tcPr>
          <w:p>
            <w:pPr>
              <w:jc w:val="right"/>
              <w:ind w:right="6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(26,513</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38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cash provided by operating activities increased by $8.3 million in the first six months of fiscal year 2012 as compared to the first six months of fiscal year 2011, primarily due to lower payments for annual bonuses and restructuring and transformation costs. Payments related to transformation activities were higher in the prior year due to the timing of our Global Med acquisition, which closed at the end of fiscal year 2010. Cash provided by operations was negatively impacted in the first six months of fiscal 2012 by higher inventory levels to support plasma growth, launch of our next generation surgical device and the replacement of recalled OrthoPAT devices.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Net cash used in investing activities decreased by $0.1 million during the first six months of fiscal year 2012 as compared to the first six months of 2011 due to a $0.2 million decrease in capital expenditures on property, plant, and equipment, which was partially offset by $0.1 million decrease in proceeds from the sale of property, plant,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Net cash used to fund share repurchases under common stock repurchase programs was $50.0 million during the first six months of both fiscal 2011 and 2012. Net cash used in financing activities decreased by $5.5 million during the first six months of fiscal year 2012, as compared to the first six months of 2011 due primarily to a $7.2 million increase in net borrowings under short-term credit arrangements.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the first six months of fiscal year 2012, approximately 51% of our sales were generated outside the U.S., generally in foreign currencies, yet our reporting currency is the U.S. Dollar. Our primary foreign currency exposures relate to sales denominated in the Euro and the Japanese Yen. We also have foreign currency exposure related to manufacturing and other operational costs denominated in the Swiss Franc, the British Pound, and the Canadian Dollar. The Yen and Euro sales exposure is partially mitigated by costs and expenses for foreign operations and sourcing products denominated in foreign currencies. Since our foreign currency denominated Yen and Euro sales exceed the foreign currency denominated costs, whenever the U.S. Dollar strengthens relative to the Yen or Euro, there is an adverse affect on our results of operations and, conversely, whenever the U.S. dollar weakens relative to the Yen or Euro, there is a positive effect on our results of operations. For the Swiss Franc, the British Pound, and the Canadian Dollar,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5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British Pound,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Presented below are the spot rates for our Euro, Japanese Yen, Canadian Dollar, British Pound, and Swiss Franc cash flow hedges that settled during fiscal years 2010, 2011, and 2012 or are presently outstanding. These hedges cover our long foreign currency positions that result from our sales designated in Euros and the Japanese Yen. These hedges also include our short positions associated with costs incurred in Canadian Dollars, British Pounds, and Swiss Francs. The table also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First</w:t>
            </w:r>
          </w:p>
        </w:tc>
        <w:tc>
          <w:tcPr>
            <w:tcW w:w="1540" w:type="dxa"/>
            <w:vAlign w:val="bottom"/>
          </w:tcPr>
          <w:p>
            <w:pPr>
              <w:jc w:val="right"/>
              <w:ind w:right="352"/>
              <w:spacing w:after="0"/>
              <w:rPr>
                <w:sz w:val="20"/>
                <w:szCs w:val="20"/>
                <w:color w:val="auto"/>
              </w:rPr>
            </w:pPr>
            <w:r>
              <w:rPr>
                <w:rFonts w:ascii="Arial" w:cs="Arial" w:eastAsia="Arial" w:hAnsi="Arial"/>
                <w:sz w:val="14"/>
                <w:szCs w:val="14"/>
                <w:color w:val="auto"/>
              </w:rPr>
              <w:t>Favorable /</w:t>
            </w:r>
          </w:p>
        </w:tc>
        <w:tc>
          <w:tcPr>
            <w:tcW w:w="960" w:type="dxa"/>
            <w:vAlign w:val="bottom"/>
          </w:tcPr>
          <w:p>
            <w:pPr>
              <w:jc w:val="right"/>
              <w:ind w:right="172"/>
              <w:spacing w:after="0"/>
              <w:rPr>
                <w:sz w:val="20"/>
                <w:szCs w:val="20"/>
                <w:color w:val="auto"/>
              </w:rPr>
            </w:pPr>
            <w:r>
              <w:rPr>
                <w:rFonts w:ascii="Arial" w:cs="Arial" w:eastAsia="Arial" w:hAnsi="Arial"/>
                <w:sz w:val="14"/>
                <w:szCs w:val="14"/>
                <w:color w:val="auto"/>
              </w:rPr>
              <w:t>Second</w:t>
            </w:r>
          </w:p>
        </w:tc>
        <w:tc>
          <w:tcPr>
            <w:tcW w:w="1540" w:type="dxa"/>
            <w:vAlign w:val="bottom"/>
          </w:tcPr>
          <w:p>
            <w:pPr>
              <w:jc w:val="right"/>
              <w:ind w:right="352"/>
              <w:spacing w:after="0"/>
              <w:rPr>
                <w:sz w:val="20"/>
                <w:szCs w:val="20"/>
                <w:color w:val="auto"/>
              </w:rPr>
            </w:pPr>
            <w:r>
              <w:rPr>
                <w:rFonts w:ascii="Arial" w:cs="Arial" w:eastAsia="Arial" w:hAnsi="Arial"/>
                <w:sz w:val="14"/>
                <w:szCs w:val="14"/>
                <w:color w:val="auto"/>
              </w:rPr>
              <w:t>Favorable /</w:t>
            </w:r>
          </w:p>
        </w:tc>
        <w:tc>
          <w:tcPr>
            <w:tcW w:w="860" w:type="dxa"/>
            <w:vAlign w:val="bottom"/>
          </w:tcPr>
          <w:p>
            <w:pPr>
              <w:jc w:val="right"/>
              <w:ind w:right="172"/>
              <w:spacing w:after="0"/>
              <w:rPr>
                <w:sz w:val="20"/>
                <w:szCs w:val="20"/>
                <w:color w:val="auto"/>
              </w:rPr>
            </w:pPr>
            <w:r>
              <w:rPr>
                <w:rFonts w:ascii="Arial" w:cs="Arial" w:eastAsia="Arial" w:hAnsi="Arial"/>
                <w:sz w:val="14"/>
                <w:szCs w:val="14"/>
                <w:color w:val="auto"/>
              </w:rPr>
              <w:t>Third</w:t>
            </w:r>
          </w:p>
        </w:tc>
        <w:tc>
          <w:tcPr>
            <w:tcW w:w="1540" w:type="dxa"/>
            <w:vAlign w:val="bottom"/>
          </w:tcPr>
          <w:p>
            <w:pPr>
              <w:jc w:val="right"/>
              <w:ind w:right="353"/>
              <w:spacing w:after="0"/>
              <w:rPr>
                <w:sz w:val="20"/>
                <w:szCs w:val="20"/>
                <w:color w:val="auto"/>
              </w:rPr>
            </w:pPr>
            <w:r>
              <w:rPr>
                <w:rFonts w:ascii="Arial" w:cs="Arial" w:eastAsia="Arial" w:hAnsi="Arial"/>
                <w:sz w:val="14"/>
                <w:szCs w:val="14"/>
                <w:color w:val="auto"/>
              </w:rPr>
              <w:t>Favorable /</w:t>
            </w:r>
          </w:p>
        </w:tc>
        <w:tc>
          <w:tcPr>
            <w:tcW w:w="860" w:type="dxa"/>
            <w:vAlign w:val="bottom"/>
          </w:tcPr>
          <w:p>
            <w:pPr>
              <w:jc w:val="right"/>
              <w:ind w:right="152"/>
              <w:spacing w:after="0"/>
              <w:rPr>
                <w:sz w:val="20"/>
                <w:szCs w:val="20"/>
                <w:color w:val="auto"/>
              </w:rPr>
            </w:pPr>
            <w:r>
              <w:rPr>
                <w:rFonts w:ascii="Arial" w:cs="Arial" w:eastAsia="Arial" w:hAnsi="Arial"/>
                <w:sz w:val="14"/>
                <w:szCs w:val="14"/>
                <w:color w:val="auto"/>
              </w:rPr>
              <w:t>Fourth</w:t>
            </w:r>
          </w:p>
        </w:tc>
        <w:tc>
          <w:tcPr>
            <w:tcW w:w="1320" w:type="dxa"/>
            <w:vAlign w:val="bottom"/>
          </w:tcPr>
          <w:p>
            <w:pPr>
              <w:jc w:val="right"/>
              <w:ind w:right="133"/>
              <w:spacing w:after="0"/>
              <w:rPr>
                <w:sz w:val="20"/>
                <w:szCs w:val="20"/>
                <w:color w:val="auto"/>
              </w:rPr>
            </w:pPr>
            <w:r>
              <w:rPr>
                <w:rFonts w:ascii="Arial" w:cs="Arial" w:eastAsia="Arial" w:hAnsi="Arial"/>
                <w:sz w:val="14"/>
                <w:szCs w:val="14"/>
                <w:color w:val="auto"/>
              </w:rPr>
              <w:t>Favorable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Quarter</w:t>
            </w:r>
          </w:p>
        </w:tc>
        <w:tc>
          <w:tcPr>
            <w:tcW w:w="1540" w:type="dxa"/>
            <w:vAlign w:val="bottom"/>
          </w:tcPr>
          <w:p>
            <w:pPr>
              <w:jc w:val="right"/>
              <w:ind w:right="272"/>
              <w:spacing w:after="0"/>
              <w:rPr>
                <w:sz w:val="20"/>
                <w:szCs w:val="20"/>
                <w:color w:val="auto"/>
              </w:rPr>
            </w:pPr>
            <w:r>
              <w:rPr>
                <w:rFonts w:ascii="Arial" w:cs="Arial" w:eastAsia="Arial" w:hAnsi="Arial"/>
                <w:sz w:val="14"/>
                <w:szCs w:val="14"/>
                <w:color w:val="auto"/>
              </w:rPr>
              <w:t>(Unfavorable)</w:t>
            </w: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Quarter</w:t>
            </w:r>
          </w:p>
        </w:tc>
        <w:tc>
          <w:tcPr>
            <w:tcW w:w="1540" w:type="dxa"/>
            <w:vAlign w:val="bottom"/>
          </w:tcPr>
          <w:p>
            <w:pPr>
              <w:jc w:val="right"/>
              <w:ind w:right="272"/>
              <w:spacing w:after="0"/>
              <w:rPr>
                <w:sz w:val="20"/>
                <w:szCs w:val="20"/>
                <w:color w:val="auto"/>
              </w:rPr>
            </w:pPr>
            <w:r>
              <w:rPr>
                <w:rFonts w:ascii="Arial" w:cs="Arial" w:eastAsia="Arial" w:hAnsi="Arial"/>
                <w:sz w:val="14"/>
                <w:szCs w:val="14"/>
                <w:color w:val="auto"/>
              </w:rPr>
              <w:t>(Unfavorable)</w:t>
            </w: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Quarter</w:t>
            </w:r>
          </w:p>
        </w:tc>
        <w:tc>
          <w:tcPr>
            <w:tcW w:w="1540" w:type="dxa"/>
            <w:vAlign w:val="bottom"/>
          </w:tcPr>
          <w:p>
            <w:pPr>
              <w:jc w:val="right"/>
              <w:ind w:right="273"/>
              <w:spacing w:after="0"/>
              <w:rPr>
                <w:sz w:val="20"/>
                <w:szCs w:val="20"/>
                <w:color w:val="auto"/>
              </w:rPr>
            </w:pPr>
            <w:r>
              <w:rPr>
                <w:rFonts w:ascii="Arial" w:cs="Arial" w:eastAsia="Arial" w:hAnsi="Arial"/>
                <w:sz w:val="14"/>
                <w:szCs w:val="14"/>
                <w:color w:val="auto"/>
              </w:rPr>
              <w:t>(Unfavorable)</w:t>
            </w: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Quarter</w:t>
            </w:r>
          </w:p>
        </w:tc>
        <w:tc>
          <w:tcPr>
            <w:tcW w:w="1320" w:type="dxa"/>
            <w:vAlign w:val="bottom"/>
          </w:tcPr>
          <w:p>
            <w:pPr>
              <w:jc w:val="right"/>
              <w:ind w:right="53"/>
              <w:spacing w:after="0"/>
              <w:rPr>
                <w:sz w:val="20"/>
                <w:szCs w:val="20"/>
                <w:color w:val="auto"/>
              </w:rPr>
            </w:pPr>
            <w:r>
              <w:rPr>
                <w:rFonts w:ascii="Arial" w:cs="Arial" w:eastAsia="Arial" w:hAnsi="Arial"/>
                <w:sz w:val="14"/>
                <w:szCs w:val="14"/>
                <w:color w:val="auto"/>
              </w:rPr>
              <w:t>(Unfavorable)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2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Euro - Hedge Spot</w:t>
            </w:r>
          </w:p>
        </w:tc>
        <w:tc>
          <w:tcPr>
            <w:tcW w:w="9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Rate (US$ per Euro)</w:t>
            </w:r>
          </w:p>
        </w:tc>
        <w:tc>
          <w:tcPr>
            <w:tcW w:w="9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FY10</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1.57</w:t>
            </w:r>
          </w:p>
        </w:tc>
        <w:tc>
          <w:tcPr>
            <w:tcW w:w="154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1.49</w:t>
            </w:r>
          </w:p>
        </w:tc>
        <w:tc>
          <w:tcPr>
            <w:tcW w:w="154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1.32</w:t>
            </w:r>
          </w:p>
        </w:tc>
        <w:tc>
          <w:tcPr>
            <w:tcW w:w="154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1.28</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FY11</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1.36</w:t>
            </w:r>
          </w:p>
        </w:tc>
        <w:tc>
          <w:tcPr>
            <w:tcW w:w="1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(13.4%)</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1.41</w:t>
            </w:r>
          </w:p>
        </w:tc>
        <w:tc>
          <w:tcPr>
            <w:tcW w:w="1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(5.4%)</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1.43</w:t>
            </w:r>
          </w:p>
        </w:tc>
        <w:tc>
          <w:tcPr>
            <w:tcW w:w="15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8.3%</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1.35</w:t>
            </w:r>
          </w:p>
        </w:tc>
        <w:tc>
          <w:tcPr>
            <w:tcW w:w="1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FY12</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1.24</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(8.8%)</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1.30</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(7.8%)</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1.36</w:t>
            </w:r>
          </w:p>
        </w:tc>
        <w:tc>
          <w:tcPr>
            <w:tcW w:w="1540" w:type="dxa"/>
            <w:vAlign w:val="bottom"/>
          </w:tcPr>
          <w:p>
            <w:pPr>
              <w:jc w:val="right"/>
              <w:ind w:right="273"/>
              <w:spacing w:after="0"/>
              <w:rPr>
                <w:sz w:val="20"/>
                <w:szCs w:val="20"/>
                <w:color w:val="auto"/>
              </w:rPr>
            </w:pPr>
            <w:r>
              <w:rPr>
                <w:rFonts w:ascii="Arial" w:cs="Arial" w:eastAsia="Arial" w:hAnsi="Arial"/>
                <w:sz w:val="18"/>
                <w:szCs w:val="18"/>
                <w:color w:val="auto"/>
              </w:rPr>
              <w:t>(4.9%)</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1.37</w:t>
            </w:r>
          </w:p>
        </w:tc>
        <w:tc>
          <w:tcPr>
            <w:tcW w:w="1320" w:type="dxa"/>
            <w:vAlign w:val="bottom"/>
          </w:tcPr>
          <w:p>
            <w:pPr>
              <w:jc w:val="right"/>
              <w:ind w:right="1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FY13</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1.43</w:t>
            </w:r>
          </w:p>
        </w:tc>
        <w:tc>
          <w:tcPr>
            <w:tcW w:w="1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15.3%</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1.42</w:t>
            </w:r>
          </w:p>
        </w:tc>
        <w:tc>
          <w:tcPr>
            <w:tcW w:w="1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9.2%</w:t>
            </w:r>
          </w:p>
        </w:tc>
        <w:tc>
          <w:tcPr>
            <w:tcW w:w="8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Japanese Yen -</w:t>
            </w: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Hedge Spot Rate</w:t>
            </w: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(JPY per US$)</w:t>
            </w:r>
          </w:p>
        </w:tc>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FY10</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105.28</w:t>
            </w:r>
          </w:p>
        </w:tc>
        <w:tc>
          <w:tcPr>
            <w:tcW w:w="1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105.11</w:t>
            </w:r>
          </w:p>
        </w:tc>
        <w:tc>
          <w:tcPr>
            <w:tcW w:w="1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96.38</w:t>
            </w:r>
          </w:p>
        </w:tc>
        <w:tc>
          <w:tcPr>
            <w:tcW w:w="1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93.50</w:t>
            </w: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FY11</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98.17</w:t>
            </w:r>
          </w:p>
        </w:tc>
        <w:tc>
          <w:tcPr>
            <w:tcW w:w="1540" w:type="dxa"/>
            <w:vAlign w:val="bottom"/>
          </w:tcPr>
          <w:p>
            <w:pPr>
              <w:jc w:val="right"/>
              <w:ind w:right="332"/>
              <w:spacing w:after="0"/>
              <w:rPr>
                <w:sz w:val="20"/>
                <w:szCs w:val="20"/>
                <w:color w:val="auto"/>
              </w:rPr>
            </w:pPr>
            <w:r>
              <w:rPr>
                <w:rFonts w:ascii="Arial" w:cs="Arial" w:eastAsia="Arial" w:hAnsi="Arial"/>
                <w:sz w:val="18"/>
                <w:szCs w:val="18"/>
                <w:color w:val="auto"/>
              </w:rPr>
              <w:t>6.8%</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94.91</w:t>
            </w:r>
          </w:p>
        </w:tc>
        <w:tc>
          <w:tcPr>
            <w:tcW w:w="1540" w:type="dxa"/>
            <w:vAlign w:val="bottom"/>
          </w:tcPr>
          <w:p>
            <w:pPr>
              <w:jc w:val="right"/>
              <w:ind w:right="332"/>
              <w:spacing w:after="0"/>
              <w:rPr>
                <w:sz w:val="20"/>
                <w:szCs w:val="20"/>
                <w:color w:val="auto"/>
              </w:rPr>
            </w:pPr>
            <w:r>
              <w:rPr>
                <w:rFonts w:ascii="Arial" w:cs="Arial" w:eastAsia="Arial" w:hAnsi="Arial"/>
                <w:sz w:val="18"/>
                <w:szCs w:val="18"/>
                <w:color w:val="auto"/>
              </w:rPr>
              <w:t>9.7%</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89.13</w:t>
            </w:r>
          </w:p>
        </w:tc>
        <w:tc>
          <w:tcPr>
            <w:tcW w:w="1540" w:type="dxa"/>
            <w:vAlign w:val="bottom"/>
          </w:tcPr>
          <w:p>
            <w:pPr>
              <w:jc w:val="right"/>
              <w:ind w:right="333"/>
              <w:spacing w:after="0"/>
              <w:rPr>
                <w:sz w:val="20"/>
                <w:szCs w:val="20"/>
                <w:color w:val="auto"/>
              </w:rPr>
            </w:pPr>
            <w:r>
              <w:rPr>
                <w:rFonts w:ascii="Arial" w:cs="Arial" w:eastAsia="Arial" w:hAnsi="Arial"/>
                <w:sz w:val="18"/>
                <w:szCs w:val="18"/>
                <w:color w:val="auto"/>
              </w:rPr>
              <w:t>7.5%</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89.78</w:t>
            </w:r>
          </w:p>
        </w:tc>
        <w:tc>
          <w:tcPr>
            <w:tcW w:w="1320" w:type="dxa"/>
            <w:vAlign w:val="bottom"/>
          </w:tcPr>
          <w:p>
            <w:pPr>
              <w:jc w:val="right"/>
              <w:ind w:right="1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FY12</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88.99</w:t>
            </w:r>
          </w:p>
        </w:tc>
        <w:tc>
          <w:tcPr>
            <w:tcW w:w="1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9.4%</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85.65</w:t>
            </w:r>
          </w:p>
        </w:tc>
        <w:tc>
          <w:tcPr>
            <w:tcW w:w="1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9.8%</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81.73</w:t>
            </w:r>
          </w:p>
        </w:tc>
        <w:tc>
          <w:tcPr>
            <w:tcW w:w="15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8.3%</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82.45</w:t>
            </w:r>
          </w:p>
        </w:tc>
        <w:tc>
          <w:tcPr>
            <w:tcW w:w="1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FY13</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79.40</w:t>
            </w:r>
          </w:p>
        </w:tc>
        <w:tc>
          <w:tcPr>
            <w:tcW w:w="1540" w:type="dxa"/>
            <w:vAlign w:val="bottom"/>
          </w:tcPr>
          <w:p>
            <w:pPr>
              <w:jc w:val="right"/>
              <w:ind w:right="332"/>
              <w:spacing w:after="0"/>
              <w:rPr>
                <w:sz w:val="20"/>
                <w:szCs w:val="20"/>
                <w:color w:val="auto"/>
              </w:rPr>
            </w:pPr>
            <w:r>
              <w:rPr>
                <w:rFonts w:ascii="Arial" w:cs="Arial" w:eastAsia="Arial" w:hAnsi="Arial"/>
                <w:sz w:val="18"/>
                <w:szCs w:val="18"/>
                <w:color w:val="auto"/>
              </w:rPr>
              <w:t>10.8%</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76.65</w:t>
            </w:r>
          </w:p>
        </w:tc>
        <w:tc>
          <w:tcPr>
            <w:tcW w:w="1540" w:type="dxa"/>
            <w:vAlign w:val="bottom"/>
          </w:tcPr>
          <w:p>
            <w:pPr>
              <w:jc w:val="right"/>
              <w:ind w:right="332"/>
              <w:spacing w:after="0"/>
              <w:rPr>
                <w:sz w:val="20"/>
                <w:szCs w:val="20"/>
                <w:color w:val="auto"/>
              </w:rPr>
            </w:pPr>
            <w:r>
              <w:rPr>
                <w:rFonts w:ascii="Arial" w:cs="Arial" w:eastAsia="Arial" w:hAnsi="Arial"/>
                <w:sz w:val="18"/>
                <w:szCs w:val="18"/>
                <w:color w:val="auto"/>
              </w:rPr>
              <w:t>10.5%</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Canadian Dollar -</w:t>
            </w:r>
          </w:p>
        </w:tc>
        <w:tc>
          <w:tcPr>
            <w:tcW w:w="9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Hedge Spot Rate</w:t>
            </w: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(CAD per US$)</w:t>
            </w:r>
          </w:p>
        </w:tc>
        <w:tc>
          <w:tcPr>
            <w:tcW w:w="9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FY10</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1.14</w:t>
            </w:r>
          </w:p>
        </w:tc>
        <w:tc>
          <w:tcPr>
            <w:tcW w:w="154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1.12</w:t>
            </w:r>
          </w:p>
        </w:tc>
        <w:tc>
          <w:tcPr>
            <w:tcW w:w="154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1.11</w:t>
            </w:r>
          </w:p>
        </w:tc>
        <w:tc>
          <w:tcPr>
            <w:tcW w:w="154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1.09</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FY11</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1.10</w:t>
            </w:r>
          </w:p>
        </w:tc>
        <w:tc>
          <w:tcPr>
            <w:tcW w:w="1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(3.5%)</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1.09</w:t>
            </w:r>
          </w:p>
        </w:tc>
        <w:tc>
          <w:tcPr>
            <w:tcW w:w="1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(2.7%)</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1.07</w:t>
            </w:r>
          </w:p>
        </w:tc>
        <w:tc>
          <w:tcPr>
            <w:tcW w:w="15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(3.6%)</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1.03</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FY12</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1.05</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(4.5%)</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1.03</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(5.5%)</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1.00</w:t>
            </w:r>
          </w:p>
        </w:tc>
        <w:tc>
          <w:tcPr>
            <w:tcW w:w="1540" w:type="dxa"/>
            <w:vAlign w:val="bottom"/>
          </w:tcPr>
          <w:p>
            <w:pPr>
              <w:jc w:val="right"/>
              <w:ind w:right="273"/>
              <w:spacing w:after="0"/>
              <w:rPr>
                <w:sz w:val="20"/>
                <w:szCs w:val="20"/>
                <w:color w:val="auto"/>
              </w:rPr>
            </w:pPr>
            <w:r>
              <w:rPr>
                <w:rFonts w:ascii="Arial" w:cs="Arial" w:eastAsia="Arial" w:hAnsi="Arial"/>
                <w:sz w:val="18"/>
                <w:szCs w:val="18"/>
                <w:color w:val="auto"/>
              </w:rPr>
              <w:t>(6.5%)</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0.99</w:t>
            </w: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FY13</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0.98</w:t>
            </w:r>
          </w:p>
        </w:tc>
        <w:tc>
          <w:tcPr>
            <w:tcW w:w="1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(6.7%)</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0.98</w:t>
            </w:r>
          </w:p>
        </w:tc>
        <w:tc>
          <w:tcPr>
            <w:tcW w:w="1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(4.9%)</w:t>
            </w:r>
          </w:p>
        </w:tc>
        <w:tc>
          <w:tcPr>
            <w:tcW w:w="8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British Pound -</w:t>
            </w: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Hedge Spot Rate</w:t>
            </w: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(US$ per GBP)</w:t>
            </w:r>
          </w:p>
        </w:tc>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FY10</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1.45</w:t>
            </w:r>
          </w:p>
        </w:tc>
        <w:tc>
          <w:tcPr>
            <w:tcW w:w="1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1.44</w:t>
            </w:r>
          </w:p>
        </w:tc>
        <w:tc>
          <w:tcPr>
            <w:tcW w:w="1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1.42</w:t>
            </w:r>
          </w:p>
        </w:tc>
        <w:tc>
          <w:tcPr>
            <w:tcW w:w="1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1.40</w:t>
            </w: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FY11</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1.47</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(1.4%)</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1.65</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(14.6%)</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1.63</w:t>
            </w:r>
          </w:p>
        </w:tc>
        <w:tc>
          <w:tcPr>
            <w:tcW w:w="1540" w:type="dxa"/>
            <w:vAlign w:val="bottom"/>
          </w:tcPr>
          <w:p>
            <w:pPr>
              <w:jc w:val="right"/>
              <w:ind w:right="273"/>
              <w:spacing w:after="0"/>
              <w:rPr>
                <w:sz w:val="20"/>
                <w:szCs w:val="20"/>
                <w:color w:val="auto"/>
              </w:rPr>
            </w:pPr>
            <w:r>
              <w:rPr>
                <w:rFonts w:ascii="Arial" w:cs="Arial" w:eastAsia="Arial" w:hAnsi="Arial"/>
                <w:sz w:val="18"/>
                <w:szCs w:val="18"/>
                <w:color w:val="auto"/>
              </w:rPr>
              <w:t>(14.8%)</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1.59</w:t>
            </w: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FY12</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1.50</w:t>
            </w:r>
          </w:p>
        </w:tc>
        <w:tc>
          <w:tcPr>
            <w:tcW w:w="1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1.54</w:t>
            </w:r>
          </w:p>
        </w:tc>
        <w:tc>
          <w:tcPr>
            <w:tcW w:w="1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6.7%</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1.57</w:t>
            </w:r>
          </w:p>
        </w:tc>
        <w:tc>
          <w:tcPr>
            <w:tcW w:w="15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3.7%</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1.58</w:t>
            </w:r>
          </w:p>
        </w:tc>
        <w:tc>
          <w:tcPr>
            <w:tcW w:w="1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FY13</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1.62</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(8.0%)</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1.63</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(5.8%)</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Swiss Franc - Hedge</w:t>
            </w:r>
          </w:p>
        </w:tc>
        <w:tc>
          <w:tcPr>
            <w:tcW w:w="9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Spot Rate (CHF per</w:t>
            </w: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w:t>
            </w:r>
          </w:p>
        </w:tc>
        <w:tc>
          <w:tcPr>
            <w:tcW w:w="9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FY11</w:t>
            </w: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1.05</w:t>
            </w:r>
          </w:p>
        </w:tc>
        <w:tc>
          <w:tcPr>
            <w:tcW w:w="154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1.04</w:t>
            </w:r>
          </w:p>
        </w:tc>
        <w:tc>
          <w:tcPr>
            <w:tcW w:w="154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1.05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FY12</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1.05</w:t>
            </w:r>
          </w:p>
        </w:tc>
        <w:tc>
          <w:tcPr>
            <w:tcW w:w="1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1.01</w:t>
            </w:r>
          </w:p>
        </w:tc>
        <w:tc>
          <w:tcPr>
            <w:tcW w:w="1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(3.8%)</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0.96</w:t>
            </w:r>
          </w:p>
        </w:tc>
        <w:tc>
          <w:tcPr>
            <w:tcW w:w="15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(7.7%)</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0.92</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FY13</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0.82</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(21.9%)</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0.80</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(20.8%)</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generally place our cash flow hedge contracts on a rolling twelve month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May 2011, the FASB issued Accounting Standards Update No. 2011-04, </w:t>
      </w:r>
      <w:r>
        <w:rPr>
          <w:rFonts w:ascii="Arial" w:cs="Arial" w:eastAsia="Arial" w:hAnsi="Arial"/>
          <w:sz w:val="16"/>
          <w:szCs w:val="16"/>
          <w:i w:val="1"/>
          <w:iCs w:val="1"/>
          <w:color w:val="auto"/>
        </w:rPr>
        <w:t>Fair Value Measurement (Topic 820): Amendments to Achieve Common Fair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Value Measurement and Disclosure Requirements in U.S. GAAP and IFRSs. </w:t>
      </w:r>
      <w:r>
        <w:rPr>
          <w:rFonts w:ascii="Arial" w:cs="Arial" w:eastAsia="Arial" w:hAnsi="Arial"/>
          <w:sz w:val="17"/>
          <w:szCs w:val="17"/>
          <w:color w:val="auto"/>
        </w:rPr>
        <w:t>Update No. 2011-04 updates the accounting guidance related to fair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measurements that results in a consistent definition of fair value and common requirements for measurement of and disclosure about fair value between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and International Financial Reporting Standards (IFRS). The updated guidance is effective for interim and annual periods beginning after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15, 2011. Early application is not permitted. We are currently evaluating the potential impact of Update No. 2011-04 on our consolidated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statements. This statement is effective for our fourth quarter of fiscal year 2012.</w:t>
      </w:r>
    </w:p>
    <w:p>
      <w:pPr>
        <w:spacing w:after="0" w:line="10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June 2011, the FASB issued Accounting Standards Update No. 2011-05, </w:t>
      </w:r>
      <w:r>
        <w:rPr>
          <w:rFonts w:ascii="Arial" w:cs="Arial" w:eastAsia="Arial" w:hAnsi="Arial"/>
          <w:sz w:val="17"/>
          <w:szCs w:val="17"/>
          <w:i w:val="1"/>
          <w:iCs w:val="1"/>
          <w:color w:val="auto"/>
        </w:rPr>
        <w:t>Comprehensive Income (Topic 220): Presentation of Comprehensive Income</w:t>
      </w:r>
      <w:r>
        <w:rPr>
          <w:rFonts w:ascii="Arial" w:cs="Arial" w:eastAsia="Arial" w:hAnsi="Arial"/>
          <w:sz w:val="17"/>
          <w:szCs w:val="17"/>
          <w:color w:val="auto"/>
        </w:rPr>
        <w:t>. Update No. 2011-05 updates the disclosure requirements for comprehensive income to include total of comprehensive income, the components of net income, and the components of other comprehensive income either in a single continuous statement of comprehensive income or in two separate but consecutive statements. The updated guidance does not affect how earnings per share is calculated or presented. The updated guidance is effective for fiscal years, and interim periods within those years, beginning after December 15, 2011, and should be applied retrospectively. Early adoption is permitted and amendments do not require any transition disclosures. This statement is effective in our first quarter of fiscal year 2013.</w:t>
      </w:r>
    </w:p>
    <w:p>
      <w:pPr>
        <w:spacing w:after="0" w:line="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In September 2011, the FASB issued Accounting Standards Update No. 2011-08, </w:t>
      </w:r>
      <w:r>
        <w:rPr>
          <w:rFonts w:ascii="Arial" w:cs="Arial" w:eastAsia="Arial" w:hAnsi="Arial"/>
          <w:sz w:val="16"/>
          <w:szCs w:val="16"/>
          <w:i w:val="1"/>
          <w:iCs w:val="1"/>
          <w:color w:val="auto"/>
        </w:rPr>
        <w:t>Intangibles — Goodwill and Other (Topic 350)</w:t>
      </w:r>
      <w:r>
        <w:rPr>
          <w:rFonts w:ascii="Arial" w:cs="Arial" w:eastAsia="Arial" w:hAnsi="Arial"/>
          <w:sz w:val="16"/>
          <w:szCs w:val="16"/>
          <w:color w:val="auto"/>
        </w:rPr>
        <w:t>. ASU 2011-08 allows entities to first assess qualitatively whether it is necessary to perform the two-step goodwill impairment test. If an entity believes, as a result of its qualitative assessment, that it is more likely than not that the fair value of a reporting unit is less than its carrying amount, the quantitative two-step goodwill impairment test is required. An entity has the unconditional option to bypass the qualitative assessment and proceed directly to performing the first step of the</w:t>
      </w:r>
    </w:p>
    <w:p>
      <w:pPr>
        <w:sectPr>
          <w:pgSz w:w="11900" w:h="16838" w:orient="portrait"/>
          <w:cols w:equalWidth="0" w:num="1">
            <w:col w:w="11420"/>
          </w:cols>
          <w:pgMar w:left="240" w:top="41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goodwill impairment test. The Company anticipates that the adoption of this standard will not have a material impact on its consolidated financial statements and footnote disclosures.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October 2009, the FASB issued Accounting Standards Update No. 2009-13, </w:t>
      </w:r>
      <w:r>
        <w:rPr>
          <w:rFonts w:ascii="Arial" w:cs="Arial" w:eastAsia="Arial" w:hAnsi="Arial"/>
          <w:sz w:val="16"/>
          <w:szCs w:val="16"/>
          <w:i w:val="1"/>
          <w:iCs w:val="1"/>
          <w:color w:val="auto"/>
        </w:rPr>
        <w:t>Revenue Recognition (Topic 605): Multiple-Deliverable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Arrangements</w:t>
      </w:r>
      <w:r>
        <w:rPr>
          <w:rFonts w:ascii="Arial" w:cs="Arial" w:eastAsia="Arial" w:hAnsi="Arial"/>
          <w:sz w:val="16"/>
          <w:szCs w:val="16"/>
          <w:color w:val="auto"/>
        </w:rPr>
        <w:t>, and Accounting Standards Update No. 2009-14,</w:t>
      </w:r>
      <w:r>
        <w:rPr>
          <w:rFonts w:ascii="Arial" w:cs="Arial" w:eastAsia="Arial" w:hAnsi="Arial"/>
          <w:sz w:val="16"/>
          <w:szCs w:val="16"/>
          <w:i w:val="1"/>
          <w:iCs w:val="1"/>
          <w:color w:val="auto"/>
        </w:rPr>
        <w:t xml:space="preserve"> Software (Topic 985): Certain Revenue Arrangements That Include Software </w:t>
      </w:r>
      <w:r>
        <w:rPr>
          <w:rFonts w:ascii="Arial" w:cs="Arial" w:eastAsia="Arial" w:hAnsi="Arial"/>
          <w:sz w:val="16"/>
          <w:szCs w:val="16"/>
          <w:color w:val="auto"/>
        </w:rPr>
        <w:t>(the “Updates”).</w:t>
      </w:r>
      <w:r>
        <w:rPr>
          <w:rFonts w:ascii="Arial" w:cs="Arial" w:eastAsia="Arial" w:hAnsi="Arial"/>
          <w:sz w:val="16"/>
          <w:szCs w:val="16"/>
          <w:i w:val="1"/>
          <w:iCs w:val="1"/>
          <w:color w:val="auto"/>
        </w:rPr>
        <w:t xml:space="preserve"> </w:t>
      </w:r>
      <w:r>
        <w:rPr>
          <w:rFonts w:ascii="Arial" w:cs="Arial" w:eastAsia="Arial" w:hAnsi="Arial"/>
          <w:sz w:val="16"/>
          <w:szCs w:val="16"/>
          <w:color w:val="auto"/>
        </w:rPr>
        <w:t>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also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allocate arrangement consideration using the relative selling price method. The Updates also include new disclosure requirements on how the application of the relative selling price method affects the timing and amount of revenue recognition. On April 3, 2011, the Company adopted this guidance, which did not have a material impact on our financial position and results of operations.</w:t>
      </w:r>
    </w:p>
    <w:p>
      <w:pPr>
        <w:spacing w:after="0" w:line="6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December 2010, the FASB issued Accounting Standards Update No. 2010-29, </w:t>
      </w:r>
      <w:r>
        <w:rPr>
          <w:rFonts w:ascii="Arial" w:cs="Arial" w:eastAsia="Arial" w:hAnsi="Arial"/>
          <w:sz w:val="17"/>
          <w:szCs w:val="17"/>
          <w:i w:val="1"/>
          <w:iCs w:val="1"/>
          <w:color w:val="auto"/>
        </w:rPr>
        <w:t>Business Combinations (Topic 805): Disclosure of Supplementary Pro</w:t>
      </w:r>
      <w:r>
        <w:rPr>
          <w:rFonts w:ascii="Arial" w:cs="Arial" w:eastAsia="Arial" w:hAnsi="Arial"/>
          <w:sz w:val="17"/>
          <w:szCs w:val="17"/>
          <w:color w:val="auto"/>
        </w:rPr>
        <w:t xml:space="preserve"> </w:t>
      </w:r>
      <w:r>
        <w:rPr>
          <w:rFonts w:ascii="Arial" w:cs="Arial" w:eastAsia="Arial" w:hAnsi="Arial"/>
          <w:sz w:val="17"/>
          <w:szCs w:val="17"/>
          <w:i w:val="1"/>
          <w:iCs w:val="1"/>
          <w:color w:val="auto"/>
        </w:rPr>
        <w:t>Forma Information for Business Combinations</w:t>
      </w:r>
      <w:r>
        <w:rPr>
          <w:rFonts w:ascii="Arial" w:cs="Arial" w:eastAsia="Arial" w:hAnsi="Arial"/>
          <w:sz w:val="17"/>
          <w:szCs w:val="17"/>
          <w:color w:val="auto"/>
        </w:rPr>
        <w:t>. Update No. 2010-29 clarifies paragraph 805-10-50-2(h) to require public entities that enter into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combinations that are material on an individual or aggregate basis to disclose pro forma information for such business combinations that occurred in the current reporting period, including pro forma revenue and earnings of the combined entity as though the acquisition date had been as of the beginning of the comparable prior annual reporting period only. We did not complete any material business acquisitions during the six months ended October 1, 2011 thus the disclosure requirements were not applicable for the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uncertainties, the effect of economic and political conditions, the impact of competitive products and pricing,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 exhaustive. See the “Risk Factors” and “Management’s Discussion and Analysis of Financial Condition and Results of Operations” sections contained elsewhere in this report, as well as our Annual Report on Form 10-K for the fiscal year ended April 2, 2011.</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exposures relative to market risk are due to foreign exchange risk and interest rate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w:t>
      </w:r>
      <w:r>
        <w:rPr>
          <w:rFonts w:ascii="Arial" w:cs="Arial" w:eastAsia="Arial" w:hAnsi="Arial"/>
          <w:sz w:val="12"/>
          <w:szCs w:val="12"/>
          <w:b w:val="1"/>
          <w:bCs w:val="1"/>
          <w:i w:val="1"/>
          <w:iCs w:val="1"/>
          <w:color w:val="auto"/>
        </w:rPr>
        <w:t>OREIGN EXCHANGE RISK</w:t>
      </w:r>
    </w:p>
    <w:p>
      <w:pPr>
        <w:spacing w:after="0" w:line="33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w:t>
      </w:r>
    </w:p>
    <w:p>
      <w:pPr>
        <w:spacing w:after="0" w:line="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$10.2 million increase in the fair value of the forward contracts; whereas a 10% weakening of the US dollar would result in a $11.9 million decrease in the fair value of the forward contracts.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w:t>
      </w:r>
      <w:r>
        <w:rPr>
          <w:rFonts w:ascii="Arial" w:cs="Arial" w:eastAsia="Arial" w:hAnsi="Arial"/>
          <w:sz w:val="12"/>
          <w:szCs w:val="12"/>
          <w:b w:val="1"/>
          <w:bCs w:val="1"/>
          <w:i w:val="1"/>
          <w:iCs w:val="1"/>
          <w:color w:val="auto"/>
        </w:rPr>
        <w:t>NTEREST</w:t>
      </w:r>
      <w:r>
        <w:rPr>
          <w:rFonts w:ascii="Arial" w:cs="Arial" w:eastAsia="Arial" w:hAnsi="Arial"/>
          <w:sz w:val="18"/>
          <w:szCs w:val="18"/>
          <w:b w:val="1"/>
          <w:bCs w:val="1"/>
          <w:i w:val="1"/>
          <w:iCs w:val="1"/>
          <w:color w:val="auto"/>
        </w:rPr>
        <w:t xml:space="preserve"> R</w:t>
      </w:r>
      <w:r>
        <w:rPr>
          <w:rFonts w:ascii="Arial" w:cs="Arial" w:eastAsia="Arial" w:hAnsi="Arial"/>
          <w:sz w:val="12"/>
          <w:szCs w:val="12"/>
          <w:b w:val="1"/>
          <w:bCs w:val="1"/>
          <w:i w:val="1"/>
          <w:iCs w:val="1"/>
          <w:color w:val="auto"/>
        </w:rPr>
        <w:t>ATE</w:t>
      </w:r>
      <w:r>
        <w:rPr>
          <w:rFonts w:ascii="Arial" w:cs="Arial" w:eastAsia="Arial" w:hAnsi="Arial"/>
          <w:sz w:val="18"/>
          <w:szCs w:val="18"/>
          <w:b w:val="1"/>
          <w:bCs w:val="1"/>
          <w:i w:val="1"/>
          <w:iCs w:val="1"/>
          <w:color w:val="auto"/>
        </w:rPr>
        <w:t xml:space="preserve"> R</w:t>
      </w:r>
      <w:r>
        <w:rPr>
          <w:rFonts w:ascii="Arial" w:cs="Arial" w:eastAsia="Arial" w:hAnsi="Arial"/>
          <w:sz w:val="12"/>
          <w:szCs w:val="12"/>
          <w:b w:val="1"/>
          <w:bCs w:val="1"/>
          <w:i w:val="1"/>
          <w:iCs w:val="1"/>
          <w:color w:val="auto"/>
        </w:rPr>
        <w:t>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of our long-term debt is at fixed rates. Accordingly, we do not have any material exposure to interest rates.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an evaluation, as of October 1, 2011,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under the Securities Exchange Act of 1934 (the “Exchange Act”). Based upon that evaluation, the Chief Executive Officer and Chief Financial Officer concluded that our disclosure controls and procedures are effective as of October 1, 2011.</w:t>
      </w:r>
    </w:p>
    <w:p>
      <w:pPr>
        <w:spacing w:after="0" w:line="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which occurred during the six months ended October 1, 2011 that have materially affected, or are reasonably likely to materially affect, the Company’s internal control over financial reporting.</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Fenwal Patent Litigation</w:t>
      </w:r>
    </w:p>
    <w:p>
      <w:pPr>
        <w:spacing w:after="0" w:line="11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For the past five years, we have pursued a patent infringement lawsuit against Fenwal, the details of which are summarized in our Form 10-K for the fiscal year ended April 2, 2011. In January 2010, we were awarded damages and an injunction against Fenwal in connection with this lawsuit.</w:t>
      </w:r>
    </w:p>
    <w:p>
      <w:pPr>
        <w:spacing w:after="0" w:line="38"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On June 2, 2010, the United States Court of Appeals reversed the trial court’s claim construction and, accordingly, vacated the injunction and damages previously awarded to Haemonetics, and remanded the case to the trial court for further proceedings. On September 15, 2011, the trial court granted a summary judgment motion which essentially ended the U.S. case in Fenwal’s favor.</w:t>
      </w:r>
    </w:p>
    <w:p>
      <w:pPr>
        <w:spacing w:after="0" w:line="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continue to pursue a patent infringement action in Germany against Fenwal, and its European and German subsidiary, for Fenwal’s infringement of Haemonetics’ corresponding European patent to the Haemonetics patent at issue in the United States litigation. Further details related to these proceedings have been disclosed in our Form 10-K for the fiscal year ended April 2, 2011. There has been no material developments related to these proceedings during the current fiscal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Haemonetics Italia Matter</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April 2008, our subsidiary Haemonetics Italia, Srl. and two of its employees were found guilty by a court in Milan, Italy of charges arising from allegedly improper payments made under a consulting contract with a local physician and in pricing products under a tender from a public hospital. The two employees found guilty in this matter are no longer employed by the Company. This matter dates to 2004 and involved other unrelated companies and individuals. On June 14, 2011, the final level appeals court affirmed these verdicts. There are no further appeals available and the convictions are now final. When the matters first arose, our Board of Directors commissioned independent legal counsel to conduct investigations on its behalf. Based upon its evaluation of counsel’s report, the Board concluded that no disciplinary action was warranted in either case. Neither the original ruling nor its final affirmation has impacted the Company’s business in Italy to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April 2, 2011, which could materially affect the Company’s business, financial condition or future results. The risks described in the Company’s Annual Report on Form 10-K are not the only risks facing the Company. Additional risks and uncertainties not currently known to the Company or that it currently deems to be immaterial also may materially adversely affect its business, financial condition and/or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 May 2, 2011 press release, the Company announced that its Board of Directors approved the repurchase of up to $50.0 million worth of Company shares during fiscal year 2012. Through October 1, 2011, the Company repurchased 852,410 shares of its common stock for an aggregate purchase price of</w:t>
      </w:r>
    </w:p>
    <w:p>
      <w:pPr>
        <w:ind w:right="140"/>
        <w:spacing w:after="0" w:line="261" w:lineRule="auto"/>
        <w:rPr>
          <w:sz w:val="20"/>
          <w:szCs w:val="20"/>
          <w:color w:val="auto"/>
        </w:rPr>
      </w:pPr>
      <w:r>
        <w:rPr>
          <w:rFonts w:ascii="Arial" w:cs="Arial" w:eastAsia="Arial" w:hAnsi="Arial"/>
          <w:sz w:val="18"/>
          <w:szCs w:val="18"/>
          <w:color w:val="auto"/>
        </w:rPr>
        <w:t>$50.0 million. We reflect stock repurchases in our financial statements on a “trade date” basis and as Authorized Unissued (Haemonetics is a Massachusetts company and under Massachusetts law repurchased shares are treated as authorized but unissued).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All of the purchases during the quarter were made under the publicly announced program. All purchases were made in the open market.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color w:val="auto"/>
                <w:w w:val="95"/>
              </w:rPr>
              <w:t>Total Dollar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Maximum Dollar</w:t>
            </w:r>
          </w:p>
        </w:tc>
      </w:tr>
      <w:tr>
        <w:trPr>
          <w:trHeight w:val="149"/>
        </w:trPr>
        <w:tc>
          <w:tcPr>
            <w:tcW w:w="5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Average Price</w:t>
            </w:r>
          </w:p>
        </w:tc>
        <w:tc>
          <w:tcPr>
            <w:tcW w:w="14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0"/>
              </w:rPr>
              <w:t>of Shares Purchased</w:t>
            </w:r>
          </w:p>
        </w:tc>
        <w:tc>
          <w:tcPr>
            <w:tcW w:w="30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2"/>
              </w:rPr>
              <w:t>Value of Shares that</w:t>
            </w:r>
          </w:p>
        </w:tc>
      </w:tr>
      <w:tr>
        <w:trPr>
          <w:trHeight w:val="149"/>
        </w:trPr>
        <w:tc>
          <w:tcPr>
            <w:tcW w:w="5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1"/>
              </w:rPr>
              <w:t>Total Number</w:t>
            </w:r>
          </w:p>
        </w:tc>
        <w:tc>
          <w:tcPr>
            <w:tcW w:w="2000" w:type="dxa"/>
            <w:vAlign w:val="bottom"/>
            <w:gridSpan w:val="4"/>
          </w:tcPr>
          <w:p>
            <w:pPr>
              <w:ind w:left="580"/>
              <w:spacing w:after="0" w:line="149" w:lineRule="exact"/>
              <w:rPr>
                <w:sz w:val="20"/>
                <w:szCs w:val="20"/>
                <w:color w:val="auto"/>
              </w:rPr>
            </w:pPr>
            <w:r>
              <w:rPr>
                <w:rFonts w:ascii="Arial" w:cs="Arial" w:eastAsia="Arial" w:hAnsi="Arial"/>
                <w:sz w:val="14"/>
                <w:szCs w:val="14"/>
                <w:color w:val="auto"/>
              </w:rPr>
              <w:t>Paid per Share</w:t>
            </w:r>
          </w:p>
        </w:tc>
        <w:tc>
          <w:tcPr>
            <w:tcW w:w="14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4"/>
              </w:rPr>
              <w:t>as 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May Yet be</w:t>
            </w:r>
          </w:p>
        </w:tc>
      </w:tr>
      <w:tr>
        <w:trPr>
          <w:trHeight w:val="149"/>
        </w:trPr>
        <w:tc>
          <w:tcPr>
            <w:tcW w:w="5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of Shares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7"/>
              </w:rPr>
              <w:t>including</w:t>
            </w:r>
          </w:p>
        </w:tc>
        <w:tc>
          <w:tcPr>
            <w:tcW w:w="14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Announced Plans</w:t>
            </w:r>
          </w:p>
        </w:tc>
        <w:tc>
          <w:tcPr>
            <w:tcW w:w="1520" w:type="dxa"/>
            <w:vAlign w:val="bottom"/>
            <w:gridSpan w:val="4"/>
          </w:tcPr>
          <w:p>
            <w:pPr>
              <w:ind w:left="300"/>
              <w:spacing w:after="0" w:line="149" w:lineRule="exact"/>
              <w:rPr>
                <w:sz w:val="20"/>
                <w:szCs w:val="20"/>
                <w:color w:val="auto"/>
              </w:rPr>
            </w:pPr>
            <w:r>
              <w:rPr>
                <w:rFonts w:ascii="Arial" w:cs="Arial" w:eastAsia="Arial" w:hAnsi="Arial"/>
                <w:sz w:val="14"/>
                <w:szCs w:val="14"/>
                <w:color w:val="auto"/>
                <w:w w:val="90"/>
              </w:rPr>
              <w:t>Purchased Under the</w:t>
            </w:r>
          </w:p>
        </w:tc>
      </w:tr>
      <w:tr>
        <w:trPr>
          <w:trHeight w:val="167"/>
        </w:trPr>
        <w:tc>
          <w:tcPr>
            <w:tcW w:w="5040" w:type="dxa"/>
            <w:vAlign w:val="bottom"/>
          </w:tcPr>
          <w:p>
            <w:pPr>
              <w:spacing w:after="0"/>
              <w:rPr>
                <w:sz w:val="20"/>
                <w:szCs w:val="20"/>
                <w:color w:val="auto"/>
              </w:rPr>
            </w:pPr>
            <w:r>
              <w:rPr>
                <w:rFonts w:ascii="Arial" w:cs="Arial" w:eastAsia="Arial" w:hAnsi="Arial"/>
                <w:sz w:val="14"/>
                <w:szCs w:val="14"/>
                <w:color w:val="auto"/>
              </w:rPr>
              <w:t>Period</w:t>
            </w:r>
          </w:p>
        </w:tc>
        <w:tc>
          <w:tcPr>
            <w:tcW w:w="5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w w:val="88"/>
              </w:rPr>
              <w:t>Repurchased</w:t>
            </w:r>
          </w:p>
        </w:tc>
        <w:tc>
          <w:tcPr>
            <w:tcW w:w="580" w:type="dxa"/>
            <w:vAlign w:val="bottom"/>
          </w:tcPr>
          <w:p>
            <w:pPr>
              <w:spacing w:after="0"/>
              <w:rPr>
                <w:sz w:val="14"/>
                <w:szCs w:val="14"/>
                <w:color w:val="auto"/>
              </w:rPr>
            </w:pPr>
          </w:p>
        </w:tc>
        <w:tc>
          <w:tcPr>
            <w:tcW w:w="1420" w:type="dxa"/>
            <w:vAlign w:val="bottom"/>
            <w:gridSpan w:val="3"/>
          </w:tcPr>
          <w:p>
            <w:pPr>
              <w:jc w:val="center"/>
              <w:ind w:right="600"/>
              <w:spacing w:after="0"/>
              <w:rPr>
                <w:sz w:val="20"/>
                <w:szCs w:val="20"/>
                <w:color w:val="auto"/>
              </w:rPr>
            </w:pPr>
            <w:r>
              <w:rPr>
                <w:rFonts w:ascii="Arial" w:cs="Arial" w:eastAsia="Arial" w:hAnsi="Arial"/>
                <w:sz w:val="14"/>
                <w:szCs w:val="14"/>
                <w:color w:val="auto"/>
                <w:w w:val="92"/>
              </w:rPr>
              <w:t>Commissions</w:t>
            </w:r>
          </w:p>
        </w:tc>
        <w:tc>
          <w:tcPr>
            <w:tcW w:w="16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or Programs</w:t>
            </w:r>
          </w:p>
        </w:tc>
        <w:tc>
          <w:tcPr>
            <w:tcW w:w="300" w:type="dxa"/>
            <w:vAlign w:val="bottom"/>
          </w:tcPr>
          <w:p>
            <w:pPr>
              <w:spacing w:after="0"/>
              <w:rPr>
                <w:sz w:val="14"/>
                <w:szCs w:val="14"/>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4"/>
                <w:szCs w:val="14"/>
                <w:color w:val="auto"/>
                <w:w w:val="89"/>
              </w:rPr>
              <w:t>Plans or Programs</w:t>
            </w:r>
          </w:p>
        </w:tc>
      </w:tr>
      <w:tr>
        <w:trPr>
          <w:trHeight w:val="210"/>
        </w:trPr>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August 1, 2011 to August 25, 2011</w:t>
            </w:r>
          </w:p>
        </w:tc>
        <w:tc>
          <w:tcPr>
            <w:tcW w:w="5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852,410</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58.65</w:t>
            </w:r>
          </w:p>
        </w:tc>
        <w:tc>
          <w:tcPr>
            <w:tcW w:w="5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49,997,524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20" w:type="dxa"/>
            <w:vAlign w:val="bottom"/>
          </w:tcPr>
          <w:p>
            <w:pPr>
              <w:spacing w:after="0"/>
              <w:rPr>
                <w:sz w:val="18"/>
                <w:szCs w:val="18"/>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852,410</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58.65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49,997,524</w:t>
            </w:r>
          </w:p>
        </w:tc>
        <w:tc>
          <w:tcPr>
            <w:tcW w:w="30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2,476</w:t>
            </w:r>
          </w:p>
        </w:tc>
      </w:tr>
      <w:tr>
        <w:trPr>
          <w:trHeight w:val="20"/>
        </w:trPr>
        <w:tc>
          <w:tcPr>
            <w:tcW w:w="5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On October 27, 2011, the Board of Directors approved a form of an indemnification agreement that it anticipates entering into with each current director as well as future directors. A copy of the agreement is filed with this report as Exhibit 10.1 and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0580" w:type="dxa"/>
            <w:vAlign w:val="bottom"/>
          </w:tcPr>
          <w:p>
            <w:pPr>
              <w:ind w:left="400"/>
              <w:spacing w:after="0"/>
              <w:rPr>
                <w:sz w:val="20"/>
                <w:szCs w:val="20"/>
                <w:color w:val="auto"/>
              </w:rPr>
            </w:pPr>
            <w:r>
              <w:rPr>
                <w:rFonts w:ascii="Arial" w:cs="Arial" w:eastAsia="Arial" w:hAnsi="Arial"/>
                <w:sz w:val="18"/>
                <w:szCs w:val="18"/>
                <w:color w:val="auto"/>
              </w:rPr>
              <w:t>Form of director indemnification agreement</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10580" w:type="dxa"/>
            <w:vAlign w:val="bottom"/>
          </w:tcPr>
          <w:p>
            <w:pPr>
              <w:ind w:left="400"/>
              <w:spacing w:after="0"/>
              <w:rPr>
                <w:sz w:val="20"/>
                <w:szCs w:val="20"/>
                <w:color w:val="auto"/>
              </w:rPr>
            </w:pPr>
            <w:r>
              <w:rPr>
                <w:rFonts w:ascii="Arial" w:cs="Arial" w:eastAsia="Arial" w:hAnsi="Arial"/>
                <w:sz w:val="18"/>
                <w:szCs w:val="18"/>
                <w:color w:val="auto"/>
                <w:w w:val="95"/>
              </w:rPr>
              <w:t>Certification pursuant to Section 302 of Sarbanes-Oxley Act of 2002, of Brian Concannon, President and Chief Executive Officer of the</w:t>
            </w:r>
          </w:p>
        </w:tc>
      </w:tr>
      <w:tr>
        <w:trPr>
          <w:trHeight w:val="230"/>
        </w:trPr>
        <w:tc>
          <w:tcPr>
            <w:tcW w:w="760" w:type="dxa"/>
            <w:vAlign w:val="bottom"/>
          </w:tcPr>
          <w:p>
            <w:pPr>
              <w:spacing w:after="0"/>
              <w:rPr>
                <w:sz w:val="20"/>
                <w:szCs w:val="20"/>
                <w:color w:val="auto"/>
              </w:rPr>
            </w:pPr>
          </w:p>
        </w:tc>
        <w:tc>
          <w:tcPr>
            <w:tcW w:w="10580" w:type="dxa"/>
            <w:vAlign w:val="bottom"/>
          </w:tcPr>
          <w:p>
            <w:pPr>
              <w:ind w:left="400"/>
              <w:spacing w:after="0"/>
              <w:rPr>
                <w:sz w:val="20"/>
                <w:szCs w:val="20"/>
                <w:color w:val="auto"/>
              </w:rPr>
            </w:pPr>
            <w:r>
              <w:rPr>
                <w:rFonts w:ascii="Arial" w:cs="Arial" w:eastAsia="Arial" w:hAnsi="Arial"/>
                <w:sz w:val="18"/>
                <w:szCs w:val="18"/>
                <w:color w:val="auto"/>
              </w:rPr>
              <w:t>Company</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10580" w:type="dxa"/>
            <w:vAlign w:val="bottom"/>
          </w:tcPr>
          <w:p>
            <w:pPr>
              <w:ind w:left="400"/>
              <w:spacing w:after="0"/>
              <w:rPr>
                <w:sz w:val="20"/>
                <w:szCs w:val="20"/>
                <w:color w:val="auto"/>
              </w:rPr>
            </w:pPr>
            <w:r>
              <w:rPr>
                <w:rFonts w:ascii="Arial" w:cs="Arial" w:eastAsia="Arial" w:hAnsi="Arial"/>
                <w:sz w:val="18"/>
                <w:szCs w:val="18"/>
                <w:color w:val="auto"/>
                <w:w w:val="91"/>
              </w:rPr>
              <w:t>Certification pursuant to Section 302 of Sarbanes-Oxley of 2002, of Christopher Lindop, Chief Financial Officer and Vice President Business</w:t>
            </w:r>
          </w:p>
        </w:tc>
      </w:tr>
      <w:tr>
        <w:trPr>
          <w:trHeight w:val="230"/>
        </w:trPr>
        <w:tc>
          <w:tcPr>
            <w:tcW w:w="760" w:type="dxa"/>
            <w:vAlign w:val="bottom"/>
          </w:tcPr>
          <w:p>
            <w:pPr>
              <w:spacing w:after="0"/>
              <w:rPr>
                <w:sz w:val="20"/>
                <w:szCs w:val="20"/>
                <w:color w:val="auto"/>
              </w:rPr>
            </w:pPr>
          </w:p>
        </w:tc>
        <w:tc>
          <w:tcPr>
            <w:tcW w:w="10580" w:type="dxa"/>
            <w:vAlign w:val="bottom"/>
          </w:tcPr>
          <w:p>
            <w:pPr>
              <w:ind w:left="400"/>
              <w:spacing w:after="0"/>
              <w:rPr>
                <w:sz w:val="20"/>
                <w:szCs w:val="20"/>
                <w:color w:val="auto"/>
              </w:rPr>
            </w:pPr>
            <w:r>
              <w:rPr>
                <w:rFonts w:ascii="Arial" w:cs="Arial" w:eastAsia="Arial" w:hAnsi="Arial"/>
                <w:sz w:val="18"/>
                <w:szCs w:val="18"/>
                <w:color w:val="auto"/>
              </w:rPr>
              <w:t>Development of the Company</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10580" w:type="dxa"/>
            <w:vAlign w:val="bottom"/>
          </w:tcPr>
          <w:p>
            <w:pPr>
              <w:ind w:left="400"/>
              <w:spacing w:after="0"/>
              <w:rPr>
                <w:sz w:val="20"/>
                <w:szCs w:val="20"/>
                <w:color w:val="auto"/>
              </w:rPr>
            </w:pPr>
            <w:r>
              <w:rPr>
                <w:rFonts w:ascii="Arial" w:cs="Arial" w:eastAsia="Arial" w:hAnsi="Arial"/>
                <w:sz w:val="18"/>
                <w:szCs w:val="18"/>
                <w:color w:val="auto"/>
                <w:w w:val="93"/>
              </w:rPr>
              <w:t>Certification Pursuant to 18 United States Code Section 1350, as adopted Pursuant to Section 906 of the Sarbanes-Oxley Act of 2002, of</w:t>
            </w:r>
          </w:p>
        </w:tc>
      </w:tr>
      <w:tr>
        <w:trPr>
          <w:trHeight w:val="230"/>
        </w:trPr>
        <w:tc>
          <w:tcPr>
            <w:tcW w:w="760" w:type="dxa"/>
            <w:vAlign w:val="bottom"/>
          </w:tcPr>
          <w:p>
            <w:pPr>
              <w:spacing w:after="0"/>
              <w:rPr>
                <w:sz w:val="20"/>
                <w:szCs w:val="20"/>
                <w:color w:val="auto"/>
              </w:rPr>
            </w:pPr>
          </w:p>
        </w:tc>
        <w:tc>
          <w:tcPr>
            <w:tcW w:w="10580" w:type="dxa"/>
            <w:vAlign w:val="bottom"/>
          </w:tcPr>
          <w:p>
            <w:pPr>
              <w:ind w:left="400"/>
              <w:spacing w:after="0"/>
              <w:rPr>
                <w:sz w:val="20"/>
                <w:szCs w:val="20"/>
                <w:color w:val="auto"/>
              </w:rPr>
            </w:pPr>
            <w:r>
              <w:rPr>
                <w:rFonts w:ascii="Arial" w:cs="Arial" w:eastAsia="Arial" w:hAnsi="Arial"/>
                <w:sz w:val="18"/>
                <w:szCs w:val="18"/>
                <w:color w:val="auto"/>
              </w:rPr>
              <w:t>Brian Concannon, President and Chief Executive Officer of the Company</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10580" w:type="dxa"/>
            <w:vAlign w:val="bottom"/>
          </w:tcPr>
          <w:p>
            <w:pPr>
              <w:ind w:left="400"/>
              <w:spacing w:after="0"/>
              <w:rPr>
                <w:sz w:val="20"/>
                <w:szCs w:val="20"/>
                <w:color w:val="auto"/>
              </w:rPr>
            </w:pPr>
            <w:r>
              <w:rPr>
                <w:rFonts w:ascii="Arial" w:cs="Arial" w:eastAsia="Arial" w:hAnsi="Arial"/>
                <w:sz w:val="18"/>
                <w:szCs w:val="18"/>
                <w:color w:val="auto"/>
                <w:w w:val="93"/>
              </w:rPr>
              <w:t>Certification Pursuant to 18 United States Code Section 1350, as adopted Pursuant to Section 906 of the Sarbanes-Oxley Act of 2002, of</w:t>
            </w:r>
          </w:p>
        </w:tc>
      </w:tr>
      <w:tr>
        <w:trPr>
          <w:trHeight w:val="230"/>
        </w:trPr>
        <w:tc>
          <w:tcPr>
            <w:tcW w:w="760" w:type="dxa"/>
            <w:vAlign w:val="bottom"/>
          </w:tcPr>
          <w:p>
            <w:pPr>
              <w:spacing w:after="0"/>
              <w:rPr>
                <w:sz w:val="20"/>
                <w:szCs w:val="20"/>
                <w:color w:val="auto"/>
              </w:rPr>
            </w:pPr>
          </w:p>
        </w:tc>
        <w:tc>
          <w:tcPr>
            <w:tcW w:w="10580" w:type="dxa"/>
            <w:vAlign w:val="bottom"/>
          </w:tcPr>
          <w:p>
            <w:pPr>
              <w:ind w:left="400"/>
              <w:spacing w:after="0"/>
              <w:rPr>
                <w:sz w:val="20"/>
                <w:szCs w:val="20"/>
                <w:color w:val="auto"/>
              </w:rPr>
            </w:pPr>
            <w:r>
              <w:rPr>
                <w:rFonts w:ascii="Arial" w:cs="Arial" w:eastAsia="Arial" w:hAnsi="Arial"/>
                <w:sz w:val="18"/>
                <w:szCs w:val="18"/>
                <w:color w:val="auto"/>
              </w:rPr>
              <w:t>Christopher Lindop, Chief Financial Officer and Vice President Business Development of the Company</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0580" w:type="dxa"/>
            <w:vAlign w:val="bottom"/>
          </w:tcPr>
          <w:p>
            <w:pPr>
              <w:ind w:left="400"/>
              <w:spacing w:after="0"/>
              <w:rPr>
                <w:sz w:val="20"/>
                <w:szCs w:val="20"/>
                <w:color w:val="auto"/>
              </w:rPr>
            </w:pPr>
            <w:r>
              <w:rPr>
                <w:rFonts w:ascii="Arial" w:cs="Arial" w:eastAsia="Arial" w:hAnsi="Arial"/>
                <w:sz w:val="18"/>
                <w:szCs w:val="18"/>
                <w:color w:val="auto"/>
                <w:w w:val="96"/>
              </w:rPr>
              <w:t>The following materials from Haemonetics Corporation on Form 10-Q for the quarter ended October 1, 2011, formatted in Extensible</w:t>
            </w:r>
          </w:p>
        </w:tc>
      </w:tr>
      <w:tr>
        <w:trPr>
          <w:trHeight w:val="216"/>
        </w:trPr>
        <w:tc>
          <w:tcPr>
            <w:tcW w:w="760" w:type="dxa"/>
            <w:vAlign w:val="bottom"/>
          </w:tcPr>
          <w:p>
            <w:pPr>
              <w:spacing w:after="0"/>
              <w:rPr>
                <w:sz w:val="18"/>
                <w:szCs w:val="18"/>
                <w:color w:val="auto"/>
              </w:rPr>
            </w:pPr>
          </w:p>
        </w:tc>
        <w:tc>
          <w:tcPr>
            <w:tcW w:w="10580" w:type="dxa"/>
            <w:vAlign w:val="bottom"/>
          </w:tcPr>
          <w:p>
            <w:pPr>
              <w:ind w:left="400"/>
              <w:spacing w:after="0"/>
              <w:rPr>
                <w:sz w:val="20"/>
                <w:szCs w:val="20"/>
                <w:color w:val="auto"/>
              </w:rPr>
            </w:pPr>
            <w:r>
              <w:rPr>
                <w:rFonts w:ascii="Arial" w:cs="Arial" w:eastAsia="Arial" w:hAnsi="Arial"/>
                <w:sz w:val="18"/>
                <w:szCs w:val="18"/>
                <w:color w:val="auto"/>
                <w:w w:val="98"/>
              </w:rPr>
              <w:t>Business Reporting Language (XBRL); (i) Consolidated Statements of Income, (ii) Consolidated Balance Sheets, (iii) Consolidated</w:t>
            </w:r>
          </w:p>
        </w:tc>
      </w:tr>
      <w:tr>
        <w:trPr>
          <w:trHeight w:val="230"/>
        </w:trPr>
        <w:tc>
          <w:tcPr>
            <w:tcW w:w="760" w:type="dxa"/>
            <w:vAlign w:val="bottom"/>
          </w:tcPr>
          <w:p>
            <w:pPr>
              <w:spacing w:after="0"/>
              <w:rPr>
                <w:sz w:val="20"/>
                <w:szCs w:val="20"/>
                <w:color w:val="auto"/>
              </w:rPr>
            </w:pPr>
          </w:p>
        </w:tc>
        <w:tc>
          <w:tcPr>
            <w:tcW w:w="10580" w:type="dxa"/>
            <w:vAlign w:val="bottom"/>
          </w:tcPr>
          <w:p>
            <w:pPr>
              <w:ind w:left="400"/>
              <w:spacing w:after="0"/>
              <w:rPr>
                <w:sz w:val="20"/>
                <w:szCs w:val="20"/>
                <w:color w:val="auto"/>
              </w:rPr>
            </w:pPr>
            <w:r>
              <w:rPr>
                <w:rFonts w:ascii="Arial" w:cs="Arial" w:eastAsia="Arial" w:hAnsi="Arial"/>
                <w:sz w:val="18"/>
                <w:szCs w:val="18"/>
                <w:color w:val="auto"/>
              </w:rPr>
              <w:t>Statements of Cash Flows, and (iv) Notes to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8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200" w:type="dxa"/>
            <w:vAlign w:val="bottom"/>
            <w:gridSpan w:val="3"/>
          </w:tcPr>
          <w:p>
            <w:pPr>
              <w:ind w:left="1800"/>
              <w:spacing w:after="0"/>
              <w:rPr>
                <w:sz w:val="20"/>
                <w:szCs w:val="20"/>
                <w:color w:val="auto"/>
              </w:rPr>
            </w:pPr>
            <w:r>
              <w:rPr>
                <w:rFonts w:ascii="Arial" w:cs="Arial" w:eastAsia="Arial" w:hAnsi="Arial"/>
                <w:sz w:val="18"/>
                <w:szCs w:val="18"/>
                <w:color w:val="auto"/>
              </w:rPr>
              <w:t>HAEMONETICS CORPORATION</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November 3, 2011</w:t>
            </w:r>
          </w:p>
        </w:tc>
        <w:tc>
          <w:tcPr>
            <w:tcW w:w="6200" w:type="dxa"/>
            <w:vAlign w:val="bottom"/>
            <w:gridSpan w:val="3"/>
          </w:tcPr>
          <w:p>
            <w:pPr>
              <w:ind w:left="1800"/>
              <w:spacing w:after="0"/>
              <w:rPr>
                <w:sz w:val="20"/>
                <w:szCs w:val="20"/>
                <w:color w:val="auto"/>
              </w:rPr>
            </w:pPr>
            <w:r>
              <w:rPr>
                <w:rFonts w:ascii="Arial" w:cs="Arial" w:eastAsia="Arial" w:hAnsi="Arial"/>
                <w:sz w:val="18"/>
                <w:szCs w:val="18"/>
                <w:color w:val="auto"/>
              </w:rPr>
              <w:t>By: /s/ Brian Concannon</w:t>
            </w:r>
          </w:p>
        </w:tc>
      </w:tr>
      <w:tr>
        <w:trPr>
          <w:trHeight w:val="195"/>
        </w:trPr>
        <w:tc>
          <w:tcPr>
            <w:tcW w:w="35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Brian Concannon, President and</w:t>
            </w:r>
          </w:p>
        </w:tc>
      </w:tr>
      <w:tr>
        <w:trPr>
          <w:trHeight w:val="216"/>
        </w:trPr>
        <w:tc>
          <w:tcPr>
            <w:tcW w:w="35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560" w:type="dxa"/>
            <w:vAlign w:val="bottom"/>
          </w:tcPr>
          <w:p>
            <w:pPr>
              <w:spacing w:after="0"/>
              <w:rPr>
                <w:sz w:val="20"/>
                <w:szCs w:val="20"/>
                <w:color w:val="auto"/>
              </w:rPr>
            </w:pPr>
            <w:r>
              <w:rPr>
                <w:rFonts w:ascii="Arial" w:cs="Arial" w:eastAsia="Arial" w:hAnsi="Arial"/>
                <w:sz w:val="18"/>
                <w:szCs w:val="18"/>
                <w:color w:val="auto"/>
              </w:rPr>
              <w:t>Date: November 3, 2011</w:t>
            </w:r>
          </w:p>
        </w:tc>
        <w:tc>
          <w:tcPr>
            <w:tcW w:w="6200" w:type="dxa"/>
            <w:vAlign w:val="bottom"/>
            <w:gridSpan w:val="3"/>
          </w:tcPr>
          <w:p>
            <w:pPr>
              <w:ind w:left="1760"/>
              <w:spacing w:after="0"/>
              <w:rPr>
                <w:sz w:val="20"/>
                <w:szCs w:val="20"/>
                <w:color w:val="auto"/>
              </w:rPr>
            </w:pPr>
            <w:r>
              <w:rPr>
                <w:rFonts w:ascii="Arial" w:cs="Arial" w:eastAsia="Arial" w:hAnsi="Arial"/>
                <w:sz w:val="18"/>
                <w:szCs w:val="18"/>
                <w:color w:val="auto"/>
              </w:rPr>
              <w:t>By: /s/ Christopher Lindop</w:t>
            </w:r>
          </w:p>
        </w:tc>
      </w:tr>
      <w:tr>
        <w:trPr>
          <w:trHeight w:val="195"/>
        </w:trPr>
        <w:tc>
          <w:tcPr>
            <w:tcW w:w="35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Christopher Lindop, Chief Financial</w:t>
            </w:r>
          </w:p>
        </w:tc>
      </w:tr>
      <w:tr>
        <w:trPr>
          <w:trHeight w:val="216"/>
        </w:trPr>
        <w:tc>
          <w:tcPr>
            <w:tcW w:w="35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Officer and Vice President Business Development</w:t>
            </w:r>
          </w:p>
        </w:tc>
      </w:tr>
      <w:tr>
        <w:trPr>
          <w:trHeight w:val="230"/>
        </w:trPr>
        <w:tc>
          <w:tcPr>
            <w:tcW w:w="3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621"/>
        </w:trPr>
        <w:tc>
          <w:tcPr>
            <w:tcW w:w="3560" w:type="dxa"/>
            <w:vAlign w:val="bottom"/>
          </w:tcPr>
          <w:p>
            <w:pPr>
              <w:spacing w:after="0"/>
              <w:rPr>
                <w:sz w:val="24"/>
                <w:szCs w:val="24"/>
                <w:color w:val="auto"/>
              </w:rPr>
            </w:pPr>
          </w:p>
        </w:tc>
        <w:tc>
          <w:tcPr>
            <w:tcW w:w="6200" w:type="dxa"/>
            <w:vAlign w:val="bottom"/>
            <w:gridSpan w:val="3"/>
          </w:tcPr>
          <w:p>
            <w:pPr>
              <w:jc w:val="right"/>
              <w:ind w:right="387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280"/>
          </w:cols>
          <w:pgMar w:left="240" w:top="419" w:right="3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Indemnification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________, 2011 by and between Haemonetics Corporation, a Massachusetts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____________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31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RECITALS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WHEREAS, the Company desires to attract and retain the services of highly qualified individuals, such as Indemnitee, to serve the Company;</w:t>
      </w:r>
    </w:p>
    <w:p>
      <w:pPr>
        <w:spacing w:after="0" w:line="129" w:lineRule="exact"/>
        <w:rPr>
          <w:sz w:val="20"/>
          <w:szCs w:val="20"/>
          <w:color w:val="auto"/>
        </w:rPr>
      </w:pPr>
    </w:p>
    <w:p>
      <w:pPr>
        <w:ind w:right="980" w:firstLine="222"/>
        <w:spacing w:after="0" w:line="277" w:lineRule="auto"/>
        <w:rPr>
          <w:sz w:val="20"/>
          <w:szCs w:val="20"/>
          <w:color w:val="auto"/>
        </w:rPr>
      </w:pPr>
      <w:r>
        <w:rPr>
          <w:rFonts w:ascii="Arial" w:cs="Arial" w:eastAsia="Arial" w:hAnsi="Arial"/>
          <w:sz w:val="18"/>
          <w:szCs w:val="18"/>
          <w:color w:val="auto"/>
        </w:rPr>
        <w:t>WHEREAS, in order to induce Indemnitee to provide or continue to provide services to the Company, the Company wishes to provide for the indemnification of, and advancement of expenses to, Indemnitee to the maximum extent permitted by law;</w:t>
      </w:r>
    </w:p>
    <w:p>
      <w:pPr>
        <w:spacing w:after="0" w:line="62" w:lineRule="exact"/>
        <w:rPr>
          <w:sz w:val="20"/>
          <w:szCs w:val="20"/>
          <w:color w:val="auto"/>
        </w:rPr>
      </w:pPr>
    </w:p>
    <w:p>
      <w:pPr>
        <w:ind w:right="260" w:firstLine="222"/>
        <w:spacing w:after="0" w:line="342" w:lineRule="auto"/>
        <w:rPr>
          <w:sz w:val="20"/>
          <w:szCs w:val="20"/>
          <w:color w:val="auto"/>
        </w:rPr>
      </w:pPr>
      <w:r>
        <w:rPr>
          <w:rFonts w:ascii="Arial" w:cs="Arial" w:eastAsia="Arial" w:hAnsi="Arial"/>
          <w:sz w:val="16"/>
          <w:szCs w:val="16"/>
          <w:color w:val="auto"/>
        </w:rPr>
        <w:t>WHEREAS, the Articles of Organization (the “</w:t>
      </w:r>
      <w:r>
        <w:rPr>
          <w:rFonts w:ascii="Arial" w:cs="Arial" w:eastAsia="Arial" w:hAnsi="Arial"/>
          <w:sz w:val="16"/>
          <w:szCs w:val="16"/>
          <w:u w:val="single" w:color="auto"/>
          <w:color w:val="auto"/>
        </w:rPr>
        <w:t>Charter</w:t>
      </w:r>
      <w:r>
        <w:rPr>
          <w:rFonts w:ascii="Arial" w:cs="Arial" w:eastAsia="Arial" w:hAnsi="Arial"/>
          <w:sz w:val="16"/>
          <w:szCs w:val="16"/>
          <w:color w:val="auto"/>
        </w:rPr>
        <w:t>”) and the Bylaws (the “</w:t>
      </w:r>
      <w:r>
        <w:rPr>
          <w:rFonts w:ascii="Arial" w:cs="Arial" w:eastAsia="Arial" w:hAnsi="Arial"/>
          <w:sz w:val="16"/>
          <w:szCs w:val="16"/>
          <w:u w:val="single" w:color="auto"/>
          <w:color w:val="auto"/>
        </w:rPr>
        <w:t>Bylaws</w:t>
      </w:r>
      <w:r>
        <w:rPr>
          <w:rFonts w:ascii="Arial" w:cs="Arial" w:eastAsia="Arial" w:hAnsi="Arial"/>
          <w:sz w:val="16"/>
          <w:szCs w:val="16"/>
          <w:color w:val="auto"/>
        </w:rPr>
        <w:t>”) of the Company require indemnification of the officers and directors of the Company, and Indemnitee may also be entitled to indemnification pursuant to the Massachusetts Business Corporation Act (the “</w:t>
      </w:r>
      <w:r>
        <w:rPr>
          <w:rFonts w:ascii="Arial" w:cs="Arial" w:eastAsia="Arial" w:hAnsi="Arial"/>
          <w:sz w:val="16"/>
          <w:szCs w:val="16"/>
          <w:u w:val="single" w:color="auto"/>
          <w:color w:val="auto"/>
        </w:rPr>
        <w:t>MBCA</w:t>
      </w:r>
      <w:r>
        <w:rPr>
          <w:rFonts w:ascii="Arial" w:cs="Arial" w:eastAsia="Arial" w:hAnsi="Arial"/>
          <w:sz w:val="16"/>
          <w:szCs w:val="16"/>
          <w:color w:val="auto"/>
        </w:rPr>
        <w:t>”);</w:t>
      </w:r>
    </w:p>
    <w:p>
      <w:pPr>
        <w:spacing w:after="0" w:line="16"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WHEREAS, the Charter, the Bylaws and the MBCA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73"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has determined that the increased difficulty in attracting and retaining highly qualified persons such as Indemnitee is detrimental to the best interests of the Company’s shareholders;</w:t>
      </w:r>
    </w:p>
    <w:p>
      <w:pPr>
        <w:spacing w:after="0" w:line="62"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WHEREAS, it is reasonable, prudent and necessary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 and</w:t>
      </w:r>
    </w:p>
    <w:p>
      <w:pPr>
        <w:spacing w:after="0" w:line="73" w:lineRule="exact"/>
        <w:rPr>
          <w:sz w:val="20"/>
          <w:szCs w:val="20"/>
          <w:color w:val="auto"/>
        </w:rPr>
      </w:pPr>
    </w:p>
    <w:p>
      <w:pPr>
        <w:jc w:val="both"/>
        <w:ind w:right="120" w:firstLine="222"/>
        <w:spacing w:after="0" w:line="308" w:lineRule="auto"/>
        <w:rPr>
          <w:sz w:val="20"/>
          <w:szCs w:val="20"/>
          <w:color w:val="auto"/>
        </w:rPr>
      </w:pPr>
      <w:r>
        <w:rPr>
          <w:rFonts w:ascii="Arial" w:cs="Arial" w:eastAsia="Arial" w:hAnsi="Arial"/>
          <w:sz w:val="17"/>
          <w:szCs w:val="17"/>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w:t>
      </w:r>
    </w:p>
    <w:p>
      <w:pPr>
        <w:spacing w:after="0" w:line="38"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62"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Services to the Company</w:t>
      </w:r>
      <w:r>
        <w:rPr>
          <w:rFonts w:ascii="Arial" w:cs="Arial" w:eastAsia="Arial" w:hAnsi="Arial"/>
          <w:sz w:val="18"/>
          <w:szCs w:val="18"/>
          <w:color w:val="auto"/>
        </w:rPr>
        <w:t>. Indemnitee agrees to serve as a director of the Company. Indemnitee may at any time and for any reason resign from such position (subject to any other contractual obligation or any obligation imposed by law), in which event the Company shall have no obligation under this Agreement to continue Indemnitee in such position.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Agreement shall not be deemed an employment contract between the Company (or any of its subsidiaries or any Enterprise) and Indemnitee.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used in this Agreement:</w:t>
      </w:r>
    </w:p>
    <w:p>
      <w:pPr>
        <w:spacing w:after="0" w:line="117" w:lineRule="exact"/>
        <w:rPr>
          <w:sz w:val="20"/>
          <w:szCs w:val="20"/>
          <w:color w:val="auto"/>
        </w:rPr>
      </w:pPr>
    </w:p>
    <w:p>
      <w:pPr>
        <w:ind w:right="140" w:firstLine="458"/>
        <w:spacing w:after="0" w:line="286" w:lineRule="auto"/>
        <w:tabs>
          <w:tab w:leader="none" w:pos="695" w:val="left"/>
        </w:tabs>
        <w:numPr>
          <w:ilvl w:val="0"/>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xml:space="preserve">” shall mean a change of control of the Company of a nature that would be required to be reported in response to Item 6(e) of Schedule 14A of Regulation 14A promulgated under the Exchange Act, whether or not the Company is, in fact, required to comply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limitation, such a Change of Control for purposes of this Agreement shall be deemed to have occurred if:</w:t>
      </w:r>
    </w:p>
    <w:p>
      <w:pPr>
        <w:spacing w:after="0" w:line="57" w:lineRule="exact"/>
        <w:rPr>
          <w:rFonts w:ascii="Arial" w:cs="Arial" w:eastAsia="Arial" w:hAnsi="Arial"/>
          <w:sz w:val="17"/>
          <w:szCs w:val="17"/>
          <w:color w:val="auto"/>
        </w:rPr>
      </w:pPr>
    </w:p>
    <w:p>
      <w:pPr>
        <w:ind w:left="460" w:right="80" w:firstLine="229"/>
        <w:spacing w:after="0" w:line="25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other than the Company, any trustee or other fiduciary holding securities under an employee benefit plan of the Company or a corporation owned, directly or indirectly, by the shareholder of the Company in substantially the same proportions as their ownership of stock of the Company is or becomes the “beneficial owner” (as defined in Rule 13d-3 under the Exchange Act), directly or indirectly, of securities of the Company representing 51% or more of the combined voting power of the Company’s then outstanding securities;</w:t>
      </w:r>
    </w:p>
    <w:p>
      <w:pPr>
        <w:spacing w:after="0" w:line="80" w:lineRule="exact"/>
        <w:rPr>
          <w:rFonts w:ascii="Arial" w:cs="Arial" w:eastAsia="Arial" w:hAnsi="Arial"/>
          <w:sz w:val="18"/>
          <w:szCs w:val="18"/>
          <w:color w:val="auto"/>
        </w:rPr>
      </w:pPr>
    </w:p>
    <w:p>
      <w:pPr>
        <w:ind w:left="460" w:firstLine="229"/>
        <w:spacing w:after="0" w:line="255" w:lineRule="auto"/>
        <w:tabs>
          <w:tab w:leader="none" w:pos="95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shareholders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at least 50% of the combined voting securities of the Company or such surviving entity outstanding immediately after such merger or consolidation, or (B) a merger or consolidation effected to implement a recapitalization of the Company (or similar transaction) in which no “person” (as herein above defined) acquires 50% or more of the combined voting power of the Company’s then outstanding securities; or</w:t>
      </w:r>
    </w:p>
    <w:p>
      <w:pPr>
        <w:spacing w:after="0" w:line="85" w:lineRule="exact"/>
        <w:rPr>
          <w:rFonts w:ascii="Arial" w:cs="Arial" w:eastAsia="Arial" w:hAnsi="Arial"/>
          <w:sz w:val="18"/>
          <w:szCs w:val="18"/>
          <w:color w:val="auto"/>
        </w:rPr>
      </w:pPr>
    </w:p>
    <w:p>
      <w:pPr>
        <w:ind w:left="460" w:right="440" w:firstLine="229"/>
        <w:spacing w:after="0" w:line="277"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shareholders of the Company approve a plan of complete liquidation of the Company or an agreement for the sale or disposition by the Company of all or substantially all of the Company’s assets.</w:t>
      </w:r>
    </w:p>
    <w:p>
      <w:pPr>
        <w:spacing w:after="0" w:line="62" w:lineRule="exact"/>
        <w:rPr>
          <w:rFonts w:ascii="Arial" w:cs="Arial" w:eastAsia="Arial" w:hAnsi="Arial"/>
          <w:sz w:val="18"/>
          <w:szCs w:val="18"/>
          <w:color w:val="auto"/>
        </w:rPr>
      </w:pPr>
    </w:p>
    <w:p>
      <w:pPr>
        <w:ind w:right="240" w:firstLine="458"/>
        <w:spacing w:after="0" w:line="308" w:lineRule="auto"/>
        <w:tabs>
          <w:tab w:leader="none" w:pos="705" w:val="left"/>
        </w:tabs>
        <w:numPr>
          <w:ilvl w:val="0"/>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Corporate Status</w:t>
      </w:r>
      <w:r>
        <w:rPr>
          <w:rFonts w:ascii="Arial" w:cs="Arial" w:eastAsia="Arial" w:hAnsi="Arial"/>
          <w:sz w:val="17"/>
          <w:szCs w:val="17"/>
          <w:color w:val="auto"/>
        </w:rPr>
        <w:t>” describes the status of a person as a current or former director of the Company or current or former director, manager, partner, officer, employee, agent or trustee of any other Enterprise which such person is or was serving at the request of the Company.</w:t>
      </w:r>
    </w:p>
    <w:p>
      <w:pPr>
        <w:spacing w:after="0" w:line="38" w:lineRule="exact"/>
        <w:rPr>
          <w:rFonts w:ascii="Arial" w:cs="Arial" w:eastAsia="Arial" w:hAnsi="Arial"/>
          <w:sz w:val="17"/>
          <w:szCs w:val="17"/>
          <w:color w:val="auto"/>
        </w:rPr>
      </w:pPr>
    </w:p>
    <w:p>
      <w:pPr>
        <w:ind w:right="80" w:firstLine="458"/>
        <w:spacing w:after="0" w:line="277"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Enforcement Expenses</w:t>
      </w:r>
      <w:r>
        <w:rPr>
          <w:rFonts w:ascii="Arial" w:cs="Arial" w:eastAsia="Arial" w:hAnsi="Arial"/>
          <w:sz w:val="18"/>
          <w:szCs w:val="18"/>
          <w:color w:val="auto"/>
        </w:rPr>
        <w:t>” shall include all reasonable attorneys’ fees, court costs, transcript costs, fees of experts, travel expenses, duplicating costs, printing and binding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jc w:val="both"/>
        <w:ind w:right="20"/>
        <w:spacing w:after="0" w:line="264" w:lineRule="auto"/>
        <w:rPr>
          <w:sz w:val="20"/>
          <w:szCs w:val="20"/>
          <w:color w:val="auto"/>
        </w:rPr>
      </w:pPr>
      <w:r>
        <w:rPr>
          <w:rFonts w:ascii="Arial" w:cs="Arial" w:eastAsia="Arial" w:hAnsi="Arial"/>
          <w:sz w:val="18"/>
          <w:szCs w:val="18"/>
          <w:color w:val="auto"/>
        </w:rPr>
        <w:t>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73" w:lineRule="exact"/>
        <w:rPr>
          <w:sz w:val="20"/>
          <w:szCs w:val="20"/>
          <w:color w:val="auto"/>
        </w:rPr>
      </w:pPr>
    </w:p>
    <w:p>
      <w:pPr>
        <w:ind w:left="720" w:hanging="262"/>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Enterprise</w:t>
      </w:r>
      <w:r>
        <w:rPr>
          <w:rFonts w:ascii="Arial" w:cs="Arial" w:eastAsia="Arial" w:hAnsi="Arial"/>
          <w:sz w:val="17"/>
          <w:szCs w:val="17"/>
          <w:color w:val="auto"/>
        </w:rPr>
        <w:t>” shall mean any corporation (other than the Company), partnership, joint venture, trust, employee benefit plan, limited liability</w:t>
      </w:r>
    </w:p>
    <w:p>
      <w:pPr>
        <w:spacing w:after="0" w:line="34"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company, or other legal entity of which Indemnitee is or was serving at the request of the Company as a director, manager, partner, officer, employee, agent or trustee.</w:t>
      </w:r>
    </w:p>
    <w:p>
      <w:pPr>
        <w:spacing w:after="0" w:line="75" w:lineRule="exact"/>
        <w:rPr>
          <w:rFonts w:ascii="Arial" w:cs="Arial" w:eastAsia="Arial" w:hAnsi="Arial"/>
          <w:sz w:val="17"/>
          <w:szCs w:val="17"/>
          <w:color w:val="auto"/>
        </w:rPr>
      </w:pPr>
    </w:p>
    <w:p>
      <w:pPr>
        <w:ind w:left="700" w:hanging="24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117" w:lineRule="exact"/>
        <w:rPr>
          <w:rFonts w:ascii="Arial" w:cs="Arial" w:eastAsia="Arial" w:hAnsi="Arial"/>
          <w:sz w:val="18"/>
          <w:szCs w:val="18"/>
          <w:color w:val="auto"/>
        </w:rPr>
      </w:pPr>
    </w:p>
    <w:p>
      <w:pPr>
        <w:ind w:right="80" w:firstLine="458"/>
        <w:spacing w:after="0" w:line="276" w:lineRule="auto"/>
        <w:tabs>
          <w:tab w:leader="none" w:pos="675"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64" w:lineRule="exact"/>
        <w:rPr>
          <w:rFonts w:ascii="Arial" w:cs="Arial" w:eastAsia="Arial" w:hAnsi="Arial"/>
          <w:sz w:val="17"/>
          <w:szCs w:val="17"/>
          <w:color w:val="auto"/>
        </w:rPr>
      </w:pPr>
    </w:p>
    <w:p>
      <w:pPr>
        <w:ind w:firstLine="458"/>
        <w:spacing w:after="0" w:line="254"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Legal Counsel</w:t>
      </w:r>
      <w:r>
        <w:rPr>
          <w:rFonts w:ascii="Arial" w:cs="Arial" w:eastAsia="Arial" w:hAnsi="Arial"/>
          <w:sz w:val="18"/>
          <w:szCs w:val="18"/>
          <w:color w:val="auto"/>
        </w:rPr>
        <w:t>” shall mean a law firm, or a partner (or, if applicable, member or shareholder) of such a law firm, that is experienced in matters of Massachusetts corporation law and neither presently is, nor in the past has been, retained to represent: (i) the Company, any subsidiary of the Company, any Enterprise or Indemnitee in any matter material to any such party; or (ii) any other party to the Proceeding giving rise to a claim for indemnification hereunder. Notwithstanding the foregoing, the term “Special Legal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Special Legal Counsel referred to above and to fully indemnify such counsel against any and all expenses, claims, liabilities and damages arising out of or relating to this Agreement or its engagement pursuant hereto.</w:t>
      </w:r>
    </w:p>
    <w:p>
      <w:pPr>
        <w:spacing w:after="0" w:line="84" w:lineRule="exact"/>
        <w:rPr>
          <w:rFonts w:ascii="Arial" w:cs="Arial" w:eastAsia="Arial" w:hAnsi="Arial"/>
          <w:sz w:val="18"/>
          <w:szCs w:val="18"/>
          <w:color w:val="auto"/>
        </w:rPr>
      </w:pPr>
    </w:p>
    <w:p>
      <w:pPr>
        <w:ind w:firstLine="458"/>
        <w:spacing w:after="0" w:line="272" w:lineRule="auto"/>
        <w:tabs>
          <w:tab w:leader="none" w:pos="70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Proceeding</w:t>
      </w:r>
      <w:r>
        <w:rPr>
          <w:rFonts w:ascii="Arial" w:cs="Arial" w:eastAsia="Arial" w:hAnsi="Arial"/>
          <w:sz w:val="17"/>
          <w:szCs w:val="17"/>
          <w:color w:val="auto"/>
        </w:rPr>
        <w:t>” shall include any threatened, pending or completed action, suit, alternate dispute resolution mechanism, or proceeding, whether brought in the right of the Company or otherwise and whether of a civil, criminal, administrative, arbitrative or investigative nature, and whether formal or informal, in which Indemnitee was, is or will be involved as a party or otherwise, by reason of the fact that Indemnitee is or was a director of the Company or is or was serving at the request of the Company as a director, manager, partner, officer, employee, agent or trustee of any Enterprise or by reason of any action taken by Indemnitee or of any action taken on his or her part while acting as a director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7" w:name="page38"/>
    <w:bookmarkEnd w:id="37"/>
    <w:p>
      <w:pPr>
        <w:ind w:right="260"/>
        <w:spacing w:after="0" w:line="342" w:lineRule="auto"/>
        <w:rPr>
          <w:sz w:val="20"/>
          <w:szCs w:val="20"/>
          <w:color w:val="auto"/>
        </w:rPr>
      </w:pPr>
      <w:r>
        <w:rPr>
          <w:rFonts w:ascii="Arial" w:cs="Arial" w:eastAsia="Arial" w:hAnsi="Arial"/>
          <w:sz w:val="16"/>
          <w:szCs w:val="16"/>
          <w:color w:val="auto"/>
        </w:rPr>
        <w:t xml:space="preserve">advancement of expenses can be provided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“Proceeding” shall not include any action, suit or arbitration, or part thereof, initiated by Indemnitee to enforce Indemnitee’s rights under this Agreement as provided for in Section 12(a) of this Agreement.</w:t>
      </w:r>
    </w:p>
    <w:p>
      <w:pPr>
        <w:spacing w:after="0" w:line="16" w:lineRule="exact"/>
        <w:rPr>
          <w:sz w:val="20"/>
          <w:szCs w:val="20"/>
          <w:color w:val="auto"/>
        </w:rPr>
      </w:pPr>
    </w:p>
    <w:p>
      <w:pPr>
        <w:ind w:right="120" w:firstLine="225"/>
        <w:spacing w:after="0" w:line="28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Indemnity in Third-Party Proceedings</w:t>
      </w:r>
      <w:r>
        <w:rPr>
          <w:rFonts w:ascii="Arial" w:cs="Arial" w:eastAsia="Arial" w:hAnsi="Arial"/>
          <w:sz w:val="16"/>
          <w:szCs w:val="16"/>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w:t>
      </w:r>
    </w:p>
    <w:p>
      <w:pPr>
        <w:spacing w:after="0" w:line="2" w:lineRule="exact"/>
        <w:rPr>
          <w:sz w:val="20"/>
          <w:szCs w:val="20"/>
          <w:color w:val="auto"/>
        </w:rPr>
      </w:pPr>
    </w:p>
    <w:p>
      <w:pPr>
        <w:ind w:right="20" w:firstLine="8"/>
        <w:spacing w:after="0" w:line="292" w:lineRule="auto"/>
        <w:tabs>
          <w:tab w:leader="none" w:pos="2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Indemnitee conducted himself or herself in good faith and in a manner he or she reasonably believed to be in the best interests of the Company or at least not opposed to the best interests of the Company, and, in the case of a criminal proceeding, had no reasonable cause to believe that his or her conduct was unlawful, or (B) Indemnitee engaged in conduct for which he or she shall not be liable under a provision of the Charter as authorized by Section 2.02(b)(4) of the MBCA (or any successor provision). The conduct of Indemnitee with respect to an employee benefit plan for a purpose Indemnitee reasonably believed to be in the best interests of the participants in, and the beneficiaries of, the plan is conduct that satisfies clause (A) of the preceding sentence.</w:t>
      </w:r>
    </w:p>
    <w:p>
      <w:pPr>
        <w:spacing w:after="0" w:line="55"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judgments, fines, penalties, excise taxes, and amounts paid in settlement actually and reasonably incurred by Indemnitee or on his or her behalf in connection with such Proceeding or any claim, issue or matter therein, if</w:t>
      </w:r>
    </w:p>
    <w:p>
      <w:pPr>
        <w:spacing w:after="0" w:line="2" w:lineRule="exact"/>
        <w:rPr>
          <w:sz w:val="20"/>
          <w:szCs w:val="20"/>
          <w:color w:val="auto"/>
        </w:rPr>
      </w:pPr>
    </w:p>
    <w:p>
      <w:pPr>
        <w:ind w:firstLine="8"/>
        <w:spacing w:after="0" w:line="253" w:lineRule="auto"/>
        <w:tabs>
          <w:tab w:leader="none" w:pos="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Indemnitee conducted himself in good faith and in a manner he or she reasonably believed to be in the best interests of the Company or at least not opposed to the best interests of the Company, or (B) Indemnitee engaged in conduct for which he or she shall not be liable under a provision of the Charter as authorized by Section 2.02(b)(4) of the MBCA (or any successor provision). The conduct of Indemnitee with respect to an employee benefit plan for a purpose Indemnitee reasonably believed to be in the best interests of the participants in, and the beneficiaries of, the plan is conduct that satisfies clause (A) of the preceding sentence.</w:t>
      </w:r>
    </w:p>
    <w:p>
      <w:pPr>
        <w:spacing w:after="0" w:line="83"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Indemnification for Expenses of a Party Who is Successful</w:t>
      </w:r>
      <w:r>
        <w:rPr>
          <w:rFonts w:ascii="Arial" w:cs="Arial" w:eastAsia="Arial" w:hAnsi="Arial"/>
          <w:sz w:val="16"/>
          <w:szCs w:val="16"/>
          <w:color w:val="auto"/>
        </w:rPr>
        <w:t>. Notwithstanding any other provisions of this Agreement and except as provided in Section 7, to the extent that Indemnitee is a party to or a participant in any Proceeding and is wholly successful, on the merits or otherwise, in such Proceeding, the Company shall indemnify Indemnitee against all Expenses actually and reasonably incurred by him or her in connection therewith. If in such Proceeding Indemnitee is successful, on the merits or otherwise,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to the extent permitted by law. For purposes of this Section 5 and without limitation, the termination of</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ind w:right="300"/>
        <w:spacing w:after="0" w:line="277" w:lineRule="auto"/>
        <w:rPr>
          <w:sz w:val="20"/>
          <w:szCs w:val="20"/>
          <w:color w:val="auto"/>
        </w:rPr>
      </w:pPr>
      <w:r>
        <w:rPr>
          <w:rFonts w:ascii="Arial" w:cs="Arial" w:eastAsia="Arial" w:hAnsi="Arial"/>
          <w:sz w:val="18"/>
          <w:szCs w:val="18"/>
          <w:color w:val="auto"/>
        </w:rPr>
        <w:t>any claim, issue or matter in such a Proceeding by dismissal, with or without prejudice, shall be deemed to be a successful result as to such claim, issue or matter.</w:t>
      </w:r>
    </w:p>
    <w:p>
      <w:pPr>
        <w:spacing w:after="0" w:line="62"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Reimbursement for Expenses of a Witness or in Response to a Subpoena</w:t>
      </w:r>
      <w:r>
        <w:rPr>
          <w:rFonts w:ascii="Arial" w:cs="Arial" w:eastAsia="Arial" w:hAnsi="Arial"/>
          <w:sz w:val="16"/>
          <w:szCs w:val="16"/>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Exclusions</w:t>
      </w:r>
      <w:r>
        <w:rPr>
          <w:rFonts w:ascii="Arial" w:cs="Arial" w:eastAsia="Arial" w:hAnsi="Arial"/>
          <w:sz w:val="17"/>
          <w:szCs w:val="17"/>
          <w:color w:val="auto"/>
        </w:rPr>
        <w:t>. Notwithstanding any provision in this Agreement to the contrary, the Company shall not be obligated under this Agreement:</w:t>
      </w:r>
    </w:p>
    <w:p>
      <w:pPr>
        <w:spacing w:after="0" w:line="129" w:lineRule="exact"/>
        <w:rPr>
          <w:sz w:val="20"/>
          <w:szCs w:val="20"/>
          <w:color w:val="auto"/>
        </w:rPr>
      </w:pPr>
    </w:p>
    <w:p>
      <w:pPr>
        <w:ind w:right="80" w:firstLine="458"/>
        <w:spacing w:after="0" w:line="277"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indemnify for amounts otherwise indemnifiable hereunder (or for which advancement is provided hereunder) if and to the extent that Indemnitee has otherwise actually received such amounts under any insurance policy, contract, agreement or otherwise;</w:t>
      </w:r>
    </w:p>
    <w:p>
      <w:pPr>
        <w:spacing w:after="0" w:line="62" w:lineRule="exact"/>
        <w:rPr>
          <w:rFonts w:ascii="Arial" w:cs="Arial" w:eastAsia="Arial" w:hAnsi="Arial"/>
          <w:sz w:val="18"/>
          <w:szCs w:val="18"/>
          <w:color w:val="auto"/>
        </w:rPr>
      </w:pPr>
    </w:p>
    <w:p>
      <w:pPr>
        <w:ind w:firstLine="458"/>
        <w:spacing w:after="0" w:line="277"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indemnify for an accounting of profits made from the purchase and sale (or sale and purchase) by Indemnitee of securities of the Company within the meaning of Section 16(b) of the Exchange Act, or similar provisions of state statutory law or common law;</w:t>
      </w:r>
    </w:p>
    <w:p>
      <w:pPr>
        <w:spacing w:after="0" w:line="62" w:lineRule="exact"/>
        <w:rPr>
          <w:rFonts w:ascii="Arial" w:cs="Arial" w:eastAsia="Arial" w:hAnsi="Arial"/>
          <w:sz w:val="18"/>
          <w:szCs w:val="18"/>
          <w:color w:val="auto"/>
        </w:rPr>
      </w:pPr>
    </w:p>
    <w:p>
      <w:pPr>
        <w:ind w:right="60" w:firstLine="458"/>
        <w:spacing w:after="0" w:line="293"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Section 7(c)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a suit for which indemnification or advancement is being sought as described in Section 12; or</w:t>
      </w:r>
    </w:p>
    <w:p>
      <w:pPr>
        <w:spacing w:after="0" w:line="56" w:lineRule="exact"/>
        <w:rPr>
          <w:rFonts w:ascii="Arial" w:cs="Arial" w:eastAsia="Arial" w:hAnsi="Arial"/>
          <w:sz w:val="16"/>
          <w:szCs w:val="16"/>
          <w:color w:val="auto"/>
        </w:rPr>
      </w:pPr>
    </w:p>
    <w:p>
      <w:pPr>
        <w:ind w:right="440" w:firstLine="458"/>
        <w:spacing w:after="0" w:line="277"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any indemnification or advancement of expenses that is prohibited by applicable law (as such law exists at the time payment would otherwise be required pursuant to this Agreement).</w:t>
      </w:r>
    </w:p>
    <w:p>
      <w:pPr>
        <w:spacing w:after="0" w:line="62"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Subject to Section 9(b), the Company shall advance, to the extent not prohibited by law, the Expenses incurred by Indemnitee in connection with any Proceeding, and such advancement shall be made within thirty (30)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need not be included with the invoice) from time to time, whether prior to or after final disposition of any Proceeding. Advances shall be unsecured and interest free. Advances shall be made without regard to Indemnitee’s ability to repay the expenses and without regard to</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9" w:name="page40"/>
    <w:bookmarkEnd w:id="39"/>
    <w:p>
      <w:pPr>
        <w:ind w:right="100"/>
        <w:spacing w:after="0" w:line="259" w:lineRule="auto"/>
        <w:rPr>
          <w:sz w:val="20"/>
          <w:szCs w:val="20"/>
          <w:color w:val="auto"/>
        </w:rPr>
      </w:pPr>
      <w:r>
        <w:rPr>
          <w:rFonts w:ascii="Arial" w:cs="Arial" w:eastAsia="Arial" w:hAnsi="Arial"/>
          <w:sz w:val="18"/>
          <w:szCs w:val="18"/>
          <w:color w:val="auto"/>
        </w:rPr>
        <w:t xml:space="preserve">Indemnitee’s ultimate entitlement to indemnification under the other provisions of this Agreement. Indemnitee shall qualify for advances upon the execution and delivery to the Company of an undertaking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Procedure for Notification and Defense of Claim</w:t>
      </w:r>
      <w:r>
        <w:rPr>
          <w:rFonts w:ascii="Arial" w:cs="Arial" w:eastAsia="Arial" w:hAnsi="Arial"/>
          <w:sz w:val="18"/>
          <w:szCs w:val="18"/>
          <w:color w:val="auto"/>
        </w:rPr>
        <w:t>.</w:t>
      </w:r>
    </w:p>
    <w:p>
      <w:pPr>
        <w:spacing w:after="0" w:line="117" w:lineRule="exact"/>
        <w:rPr>
          <w:sz w:val="20"/>
          <w:szCs w:val="20"/>
          <w:color w:val="auto"/>
        </w:rPr>
      </w:pPr>
    </w:p>
    <w:p>
      <w:pPr>
        <w:jc w:val="both"/>
        <w:ind w:right="360" w:firstLine="458"/>
        <w:spacing w:after="0" w:line="264" w:lineRule="auto"/>
        <w:tabs>
          <w:tab w:leader="none" w:pos="6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73" w:lineRule="exact"/>
        <w:rPr>
          <w:rFonts w:ascii="Arial" w:cs="Arial" w:eastAsia="Arial" w:hAnsi="Arial"/>
          <w:sz w:val="18"/>
          <w:szCs w:val="18"/>
          <w:color w:val="auto"/>
        </w:rPr>
      </w:pPr>
    </w:p>
    <w:p>
      <w:pPr>
        <w:ind w:firstLine="458"/>
        <w:spacing w:after="0" w:line="284" w:lineRule="auto"/>
        <w:tabs>
          <w:tab w:leader="none" w:pos="705"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Indemnitee shall have the right to employ separate counsel in any such Proceeding at Indemnitee’s expense and (ii) if</w:t>
      </w:r>
    </w:p>
    <w:p>
      <w:pPr>
        <w:spacing w:after="0" w:line="4" w:lineRule="exact"/>
        <w:rPr>
          <w:rFonts w:ascii="Arial" w:cs="Arial" w:eastAsia="Arial" w:hAnsi="Arial"/>
          <w:sz w:val="16"/>
          <w:szCs w:val="16"/>
          <w:color w:val="auto"/>
        </w:rPr>
      </w:pPr>
    </w:p>
    <w:p>
      <w:pPr>
        <w:jc w:val="both"/>
        <w:ind w:right="20" w:firstLine="8"/>
        <w:spacing w:after="0" w:line="254" w:lineRule="auto"/>
        <w:tabs>
          <w:tab w:leader="none" w:pos="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employment of separate counsel by Indemnitee has been previously authorized by the Company, (B) Indemnitee shall have reasonably concluded that there may be a conflict of interest between the Company and Indemnitee in the conduct of such defense, or (C) the Company shall not continue to retain such counsel to defend such Proceeding, then the reasonable fees and expenses actually and reasonably incurred by Indemnitee with respect to his or her separate counsel shall be Expenses hereunder.</w:t>
      </w:r>
    </w:p>
    <w:p>
      <w:pPr>
        <w:spacing w:after="0" w:line="81" w:lineRule="exact"/>
        <w:rPr>
          <w:rFonts w:ascii="Arial" w:cs="Arial" w:eastAsia="Arial" w:hAnsi="Arial"/>
          <w:sz w:val="18"/>
          <w:szCs w:val="18"/>
          <w:color w:val="auto"/>
        </w:rPr>
      </w:pPr>
    </w:p>
    <w:p>
      <w:pPr>
        <w:ind w:right="180" w:firstLine="458"/>
        <w:spacing w:after="0" w:line="277" w:lineRule="auto"/>
        <w:tabs>
          <w:tab w:leader="none" w:pos="695"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 event that the Company does not assume the defense in a Proceeding pursuant to paragraph (b) above, then the Company will be entitled to participate in the Proceeding at its own expense.</w:t>
      </w:r>
    </w:p>
    <w:p>
      <w:pPr>
        <w:spacing w:after="0" w:line="62" w:lineRule="exact"/>
        <w:rPr>
          <w:rFonts w:ascii="Arial" w:cs="Arial" w:eastAsia="Arial" w:hAnsi="Arial"/>
          <w:sz w:val="18"/>
          <w:szCs w:val="18"/>
          <w:color w:val="auto"/>
        </w:rPr>
      </w:pPr>
    </w:p>
    <w:p>
      <w:pPr>
        <w:ind w:right="80" w:firstLine="458"/>
        <w:spacing w:after="0" w:line="273" w:lineRule="auto"/>
        <w:tabs>
          <w:tab w:leader="none" w:pos="702"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Company shall not be liable to indemnify Indemnitee under this Agreement for any amounts paid in settlement of any Proceeding effected without its prior written consent (which consent shall not be unreasonably withheld or delayed).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0" w:name="page41"/>
    <w:bookmarkEnd w:id="40"/>
    <w:p>
      <w:pPr>
        <w:ind w:left="24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69" w:lineRule="auto"/>
        <w:tabs>
          <w:tab w:leader="none" w:pos="6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Upon written request by Indemnitee for indemnification pursuant to Section 9, a determination, if such determination is required by applicable law, with respect to the permissibility thereof shall be made in the specific case: (i) if a Change in Control shall have occurred, by Special Legal Counsel in a written opinion to the Board, or (ii) if a Change in Control shall not have occurred, by the Company in accordance with applicable law. In the case that such determination is made by Special Legal Counsel, a copy of Special Legal Counsel’s written opinion shall be delivered to Indemnitee and, if it is so determined that Indemnitee is entitled to indemnification, payment to Indemnitee shall be made within thirty (30) days after such determination. Indemnitee shall cooperate with the Special Legal Counsel or the Company, as applicable, in making such determination with respect to the permissibility of indemnification of Indemnitee, including providing to such counsel or the Company, upon reasonable advance request, any documentation or information which is not privileged or otherwise protected from disclosure and which is reasonably available to Indemnitee and reasonably necessary to such determination. Any out-of-pocket costs or expenses (including reasonable attorneys’ fees and disbursements) actually and reasonably incurred by Indemnitee in so cooperating with the Special Legal Counsel or the Company shall be borne by the Company (irrespective of the determination as to the permissibility of indemnification) and the Company hereby indemnifies and agrees to hold Indemnitee harmless therefrom.</w:t>
      </w:r>
    </w:p>
    <w:p>
      <w:pPr>
        <w:spacing w:after="0" w:line="74" w:lineRule="exact"/>
        <w:rPr>
          <w:rFonts w:ascii="Arial" w:cs="Arial" w:eastAsia="Arial" w:hAnsi="Arial"/>
          <w:sz w:val="17"/>
          <w:szCs w:val="17"/>
          <w:color w:val="auto"/>
        </w:rPr>
      </w:pPr>
    </w:p>
    <w:p>
      <w:pPr>
        <w:ind w:right="20" w:firstLine="458"/>
        <w:spacing w:after="0" w:line="286" w:lineRule="auto"/>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If the determination of permissibility of indemnification is to be made by Special Legal Counsel pursuant to Section 10(a), the Special Legal Counsel shall be selected by the Company in accordance with applicable law. The Indemnitee may, within ten (10) days after written notice of such selection, deliver to the Company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objection may be asserted only on the ground that the Special Legal Counsel so selected does not meet the requirements of “Special Legal Counsel” as defined in Section 2 of this Agreement, and the objection shall set forth with particularity the factual basis of such assertion. Absent a proper and timely objection, the person so selected shall act as Special Legal Counsel. If such written objection is so made and substantiated, the Special Legal Counsel so selected may not serve as Special Legal Counsel unless and until such objection is withdrawn or the Massachusetts Court (as defined in Section 22) has determined that such objection is without merit. If, within twenty (20) days after the later of (i) submission by Indemnitee of a written request for indemnification pursuant to Section 9(a), and (ii) the final disposition of the Proceeding, including any appeal therein, no Special Legal Counsel shall have been selected without objection, Indemnitee may petition the Massachusetts Court for resolution of any objection which shall have been made by Indemnitee to the selection of Special Legal Counsel and/or for the appointment as Special Legal Counsel of a person selected by the court or by such other person as the court shall designate. The person with respect to whom all objections are so resolved or the person so appointed shall act as Special Legal Counsel under Section 10(a) hereof. Upon the due commencement of any judicial proceeding or arbitration pursuant to Section 12(a) of this Agreement, Special Legal Counsel shall be discharged and relieved of any further responsibility in such capacity (subject to the applicable standards of professional conduct then prevailing).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 w:name="page42"/>
    <w:bookmarkEnd w:id="41"/>
    <w:p>
      <w:pPr>
        <w:ind w:left="232"/>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117" w:lineRule="exact"/>
        <w:rPr>
          <w:sz w:val="20"/>
          <w:szCs w:val="20"/>
          <w:color w:val="auto"/>
        </w:rPr>
      </w:pPr>
    </w:p>
    <w:p>
      <w:pPr>
        <w:ind w:left="-8" w:right="200" w:firstLine="458"/>
        <w:spacing w:after="0" w:line="291" w:lineRule="auto"/>
        <w:tabs>
          <w:tab w:leader="none" w:pos="68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the extent permitted by applicable law, in making a determination with respect to the permissibility of indemnification hereunder, it shall be presumed that Indemnitee is entitled to indemnification under this Agreement if Indemnitee has submitted a request for indemnification in accordance with Section 9(a) of this Agreement, and the Company shall have the burden of proof to overcome that presumption in connection with the making of any determination contrary to that presumption. Neither (i) the failure of the Company or of Special Legal Counsel to have made a determination prior to the commencement of any action pursuant to this Agreement that indemnification is proper in the circumstances because Indemnitee has met the applicable standard of conduct, nor (ii) an actual determination by the Company or by Special Legal Counsel that Indemnitee has not met such applicable standard of conduct, shall be a defense to the action or create a presumption that Indemnitee has not met the applicable standard of conduct.</w:t>
      </w:r>
    </w:p>
    <w:p>
      <w:pPr>
        <w:spacing w:after="0" w:line="59" w:lineRule="exact"/>
        <w:rPr>
          <w:rFonts w:ascii="Arial" w:cs="Arial" w:eastAsia="Arial" w:hAnsi="Arial"/>
          <w:sz w:val="16"/>
          <w:szCs w:val="16"/>
          <w:color w:val="auto"/>
        </w:rPr>
      </w:pPr>
    </w:p>
    <w:p>
      <w:pPr>
        <w:ind w:left="-8" w:right="360" w:firstLine="458"/>
        <w:spacing w:after="0" w:line="312" w:lineRule="auto"/>
        <w:tabs>
          <w:tab w:leader="none" w:pos="694"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The termination of any Proceeding or of any claim, issue or matter therein, by judgment, order, settlement or conviction, or upon a plea of </w:t>
      </w:r>
      <w:r>
        <w:rPr>
          <w:rFonts w:ascii="Arial" w:cs="Arial" w:eastAsia="Arial" w:hAnsi="Arial"/>
          <w:sz w:val="16"/>
          <w:szCs w:val="16"/>
          <w:u w:val="single" w:color="auto"/>
          <w:color w:val="auto"/>
        </w:rPr>
        <w:t>nolo</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contendere</w:t>
      </w:r>
      <w:r>
        <w:rPr>
          <w:rFonts w:ascii="Arial" w:cs="Arial" w:eastAsia="Arial" w:hAnsi="Arial"/>
          <w:sz w:val="16"/>
          <w:szCs w:val="16"/>
          <w:color w:val="auto"/>
        </w:rPr>
        <w:t xml:space="preserve"> or its equivalent, shall not (except as otherwise expressly provided in this Agreement) of itself adversely affect the right of Indemnitee to indemnification or create a presumption that Indemnitee did not meet the applicable standard of conduct for indemnification under this Agreement.</w:t>
      </w:r>
    </w:p>
    <w:p>
      <w:pPr>
        <w:spacing w:after="0" w:line="38" w:lineRule="exact"/>
        <w:rPr>
          <w:rFonts w:ascii="Arial" w:cs="Arial" w:eastAsia="Arial" w:hAnsi="Arial"/>
          <w:sz w:val="16"/>
          <w:szCs w:val="16"/>
          <w:color w:val="auto"/>
        </w:rPr>
      </w:pPr>
    </w:p>
    <w:p>
      <w:pPr>
        <w:ind w:left="-8" w:firstLine="458"/>
        <w:spacing w:after="0" w:line="342" w:lineRule="auto"/>
        <w:tabs>
          <w:tab w:leader="none" w:pos="68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w:t>
      </w:r>
    </w:p>
    <w:p>
      <w:pPr>
        <w:spacing w:after="0" w:line="16" w:lineRule="exact"/>
        <w:rPr>
          <w:sz w:val="20"/>
          <w:szCs w:val="20"/>
          <w:color w:val="auto"/>
        </w:rPr>
      </w:pPr>
    </w:p>
    <w:p>
      <w:pPr>
        <w:ind w:left="232"/>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117" w:lineRule="exact"/>
        <w:rPr>
          <w:sz w:val="20"/>
          <w:szCs w:val="20"/>
          <w:color w:val="auto"/>
        </w:rPr>
      </w:pPr>
    </w:p>
    <w:p>
      <w:pPr>
        <w:ind w:left="-8" w:right="180" w:firstLine="458"/>
        <w:spacing w:after="0" w:line="285" w:lineRule="auto"/>
        <w:tabs>
          <w:tab w:leader="none" w:pos="687" w:val="left"/>
        </w:tabs>
        <w:numPr>
          <w:ilvl w:val="1"/>
          <w:numId w:val="17"/>
        </w:numPr>
        <w:rPr>
          <w:rFonts w:ascii="Arial" w:cs="Arial" w:eastAsia="Arial" w:hAnsi="Arial"/>
          <w:sz w:val="16"/>
          <w:szCs w:val="16"/>
          <w:color w:val="auto"/>
        </w:rPr>
      </w:pPr>
      <w:r>
        <w:rPr>
          <w:rFonts w:ascii="Arial" w:cs="Arial" w:eastAsia="Arial" w:hAnsi="Arial"/>
          <w:sz w:val="16"/>
          <w:szCs w:val="16"/>
          <w:color w:val="auto"/>
        </w:rPr>
        <w:t>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of permissibility thereof is to be made other than by Special Legal Counsel, (iv) payment of indemnification or reimbursement of expenses is not made pursuant to Section 5 or 6 or the last sentence of Section 10(a) of this Agreement within thirty</w:t>
      </w:r>
    </w:p>
    <w:p>
      <w:pPr>
        <w:spacing w:after="0" w:line="2" w:lineRule="exact"/>
        <w:rPr>
          <w:rFonts w:ascii="Arial" w:cs="Arial" w:eastAsia="Arial" w:hAnsi="Arial"/>
          <w:sz w:val="16"/>
          <w:szCs w:val="16"/>
          <w:color w:val="auto"/>
        </w:rPr>
      </w:pPr>
    </w:p>
    <w:p>
      <w:pPr>
        <w:ind w:left="-8" w:right="40" w:firstLine="8"/>
        <w:spacing w:after="0" w:line="288" w:lineRule="auto"/>
        <w:tabs>
          <w:tab w:leader="none" w:pos="337" w:val="left"/>
        </w:tabs>
        <w:numPr>
          <w:ilvl w:val="0"/>
          <w:numId w:val="18"/>
        </w:numPr>
        <w:rPr>
          <w:rFonts w:ascii="Arial" w:cs="Arial" w:eastAsia="Arial" w:hAnsi="Arial"/>
          <w:sz w:val="16"/>
          <w:szCs w:val="16"/>
          <w:color w:val="auto"/>
        </w:rPr>
      </w:pPr>
      <w:r>
        <w:rPr>
          <w:rFonts w:ascii="Arial" w:cs="Arial" w:eastAsia="Arial" w:hAnsi="Arial"/>
          <w:sz w:val="16"/>
          <w:szCs w:val="16"/>
          <w:color w:val="auto"/>
        </w:rPr>
        <w:t>days after receipt by the Company of a written request therefor (which shall include any invoices received by Indemnitee but, in the case of invoices in connection with legal services, any references to legal work performed or to expenditures made that would cause Indemnitee to waive any privilege accorded by applicable law need not be included with the invoice) or (v) payment of indemnification pursuant to Section 3 or 4 of this Agreement is not made within thirty (30) days after a determination has been made that Indemnitee is entitled to indemnification, Indemnitee shall be entitled to an adjudication by the Massachusetts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w:t>
      </w:r>
    </w:p>
    <w:p>
      <w:pPr>
        <w:spacing w:after="0" w:line="14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42" w:name="page43"/>
    <w:bookmarkEnd w:id="42"/>
    <w:p>
      <w:pPr>
        <w:jc w:val="both"/>
        <w:ind w:right="300"/>
        <w:spacing w:after="0" w:line="264" w:lineRule="auto"/>
        <w:rPr>
          <w:sz w:val="20"/>
          <w:szCs w:val="20"/>
          <w:color w:val="auto"/>
        </w:rPr>
      </w:pPr>
      <w:r>
        <w:rPr>
          <w:rFonts w:ascii="Arial" w:cs="Arial" w:eastAsia="Arial" w:hAnsi="Arial"/>
          <w:sz w:val="18"/>
          <w:szCs w:val="18"/>
          <w:color w:val="auto"/>
        </w:rPr>
        <w:t xml:space="preserve">commence such proceeding pursuant to this Section 12(a);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73" w:lineRule="exact"/>
        <w:rPr>
          <w:sz w:val="20"/>
          <w:szCs w:val="20"/>
          <w:color w:val="auto"/>
        </w:rPr>
      </w:pPr>
    </w:p>
    <w:p>
      <w:pPr>
        <w:ind w:firstLine="458"/>
        <w:spacing w:after="0" w:line="302"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46" w:lineRule="exact"/>
        <w:rPr>
          <w:rFonts w:ascii="Arial" w:cs="Arial" w:eastAsia="Arial" w:hAnsi="Arial"/>
          <w:sz w:val="16"/>
          <w:szCs w:val="16"/>
          <w:color w:val="auto"/>
        </w:rPr>
      </w:pPr>
    </w:p>
    <w:p>
      <w:pPr>
        <w:ind w:right="240" w:firstLine="458"/>
        <w:spacing w:after="0" w:line="259"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78" w:lineRule="exact"/>
        <w:rPr>
          <w:rFonts w:ascii="Arial" w:cs="Arial" w:eastAsia="Arial" w:hAnsi="Arial"/>
          <w:sz w:val="18"/>
          <w:szCs w:val="18"/>
          <w:color w:val="auto"/>
        </w:rPr>
      </w:pPr>
    </w:p>
    <w:p>
      <w:pPr>
        <w:ind w:right="20" w:firstLine="458"/>
        <w:spacing w:after="0" w:line="264" w:lineRule="auto"/>
        <w:tabs>
          <w:tab w:leader="none" w:pos="7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73" w:lineRule="exact"/>
        <w:rPr>
          <w:rFonts w:ascii="Arial" w:cs="Arial" w:eastAsia="Arial" w:hAnsi="Arial"/>
          <w:sz w:val="18"/>
          <w:szCs w:val="18"/>
          <w:color w:val="auto"/>
        </w:rPr>
      </w:pPr>
    </w:p>
    <w:p>
      <w:pPr>
        <w:ind w:firstLine="458"/>
        <w:spacing w:after="0" w:line="272" w:lineRule="auto"/>
        <w:tabs>
          <w:tab w:leader="none" w:pos="69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69" w:lineRule="exact"/>
        <w:rPr>
          <w:rFonts w:ascii="Arial" w:cs="Arial" w:eastAsia="Arial" w:hAnsi="Arial"/>
          <w:sz w:val="17"/>
          <w:szCs w:val="17"/>
          <w:color w:val="auto"/>
        </w:rPr>
      </w:pPr>
    </w:p>
    <w:p>
      <w:pPr>
        <w:ind w:right="300" w:firstLine="458"/>
        <w:spacing w:after="0" w:line="277" w:lineRule="auto"/>
        <w:tabs>
          <w:tab w:leader="none" w:pos="6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Non-exclusivity; Survival of Rights; Insurance; Subrogation</w:t>
      </w:r>
      <w:r>
        <w:rPr>
          <w:rFonts w:ascii="Arial" w:cs="Arial" w:eastAsia="Arial" w:hAnsi="Arial"/>
          <w:sz w:val="18"/>
          <w:szCs w:val="18"/>
          <w:color w:val="auto"/>
        </w:rPr>
        <w:t>.</w:t>
      </w:r>
    </w:p>
    <w:p>
      <w:pPr>
        <w:spacing w:after="0" w:line="117" w:lineRule="exact"/>
        <w:rPr>
          <w:sz w:val="20"/>
          <w:szCs w:val="20"/>
          <w:color w:val="auto"/>
        </w:rPr>
      </w:pPr>
    </w:p>
    <w:p>
      <w:pPr>
        <w:ind w:right="40" w:firstLine="458"/>
        <w:spacing w:after="0" w:line="277" w:lineRule="auto"/>
        <w:tabs>
          <w:tab w:leader="none" w:pos="6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rights of indemnification and to receive advancement as provided by this Agreement shall not be deemed exclusive of any other rights to which Indemnitee may at any time be entitled under applicable law, the Charter, the Bylaws, any agreement, a vote of</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3" w:name="page44"/>
    <w:bookmarkEnd w:id="43"/>
    <w:p>
      <w:pPr>
        <w:ind w:right="80"/>
        <w:spacing w:after="0" w:line="271" w:lineRule="auto"/>
        <w:rPr>
          <w:sz w:val="20"/>
          <w:szCs w:val="20"/>
          <w:color w:val="auto"/>
        </w:rPr>
      </w:pPr>
      <w:r>
        <w:rPr>
          <w:rFonts w:ascii="Arial" w:cs="Arial" w:eastAsia="Arial" w:hAnsi="Arial"/>
          <w:sz w:val="17"/>
          <w:szCs w:val="17"/>
          <w:color w:val="auto"/>
        </w:rPr>
        <w:t>shareholders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Massachusetts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71" w:lineRule="exact"/>
        <w:rPr>
          <w:sz w:val="20"/>
          <w:szCs w:val="20"/>
          <w:color w:val="auto"/>
        </w:rPr>
      </w:pPr>
    </w:p>
    <w:p>
      <w:pPr>
        <w:ind w:firstLine="233"/>
        <w:spacing w:after="0" w:line="289" w:lineRule="auto"/>
        <w:tabs>
          <w:tab w:leader="none" w:pos="477"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shall purchase and maintain a policy or policies of liability insurance (“</w:t>
      </w:r>
      <w:r>
        <w:rPr>
          <w:rFonts w:ascii="Arial" w:cs="Arial" w:eastAsia="Arial" w:hAnsi="Arial"/>
          <w:sz w:val="16"/>
          <w:szCs w:val="16"/>
          <w:u w:val="single" w:color="auto"/>
          <w:color w:val="auto"/>
        </w:rPr>
        <w:t>D&amp;O Insurance</w:t>
      </w:r>
      <w:r>
        <w:rPr>
          <w:rFonts w:ascii="Arial" w:cs="Arial" w:eastAsia="Arial" w:hAnsi="Arial"/>
          <w:sz w:val="16"/>
          <w:szCs w:val="16"/>
          <w:color w:val="auto"/>
        </w:rPr>
        <w:t xml:space="preserve">”) on behalf of Indemnitee who is or was or has agreed to serve at the request of the Company as a director of the Company, against any liability asserted against, and incurred by, Indemnitee or on Indemnitee’s behalf in such capacity, or arising out of Indemnitee’s status as such;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D&amp;O Insurance is available on commercially reasonable terms, conditions and premiums. If the Company has such insurance in effect at the time the Company receives from Indemnitee any written notice of the commencement of a proceeding, the Company shall give notice as soon as practicable of the commencement of such proceeding to the insurers in accordance with the procedures set forth in the policy. The Company shall thereafter take all commercially reasonable actions to cause such insurers to pay, on behalf of Indemnitee, all amounts payable as a result of such proceeding in accordance with the terms and conditions of such policy. In case of a “change in control” as defined in the then existing D&amp;O Insurance, the Company shall purchase extended reporting period D&amp;O Insurance (“</w:t>
      </w:r>
      <w:r>
        <w:rPr>
          <w:rFonts w:ascii="Arial" w:cs="Arial" w:eastAsia="Arial" w:hAnsi="Arial"/>
          <w:sz w:val="16"/>
          <w:szCs w:val="16"/>
          <w:u w:val="single" w:color="auto"/>
          <w:color w:val="auto"/>
        </w:rPr>
        <w:t>Tail Coverage</w:t>
      </w:r>
      <w:r>
        <w:rPr>
          <w:rFonts w:ascii="Arial" w:cs="Arial" w:eastAsia="Arial" w:hAnsi="Arial"/>
          <w:sz w:val="16"/>
          <w:szCs w:val="16"/>
          <w:color w:val="auto"/>
        </w:rPr>
        <w:t>”) for the benefit of Indemnitee with terms and conditions equivalent to the then existing D&amp;O Insurance. The Tail Coverage shall be for a period no less than three (3) years.</w:t>
      </w:r>
    </w:p>
    <w:p>
      <w:pPr>
        <w:spacing w:after="0" w:line="58" w:lineRule="exact"/>
        <w:rPr>
          <w:rFonts w:ascii="Arial" w:cs="Arial" w:eastAsia="Arial" w:hAnsi="Arial"/>
          <w:sz w:val="16"/>
          <w:szCs w:val="16"/>
          <w:color w:val="auto"/>
        </w:rPr>
      </w:pPr>
    </w:p>
    <w:p>
      <w:pPr>
        <w:jc w:val="both"/>
        <w:ind w:right="220" w:firstLine="458"/>
        <w:spacing w:after="0" w:line="279" w:lineRule="auto"/>
        <w:tabs>
          <w:tab w:leader="none" w:pos="695" w:val="left"/>
        </w:tabs>
        <w:numPr>
          <w:ilvl w:val="1"/>
          <w:numId w:val="21"/>
        </w:numPr>
        <w:rPr>
          <w:rFonts w:ascii="Arial" w:cs="Arial" w:eastAsia="Arial" w:hAnsi="Arial"/>
          <w:sz w:val="17"/>
          <w:szCs w:val="17"/>
          <w:color w:val="auto"/>
        </w:rPr>
      </w:pPr>
      <w:r>
        <w:rPr>
          <w:rFonts w:ascii="Arial" w:cs="Arial" w:eastAsia="Arial" w:hAnsi="Arial"/>
          <w:sz w:val="17"/>
          <w:szCs w:val="17"/>
          <w:color w:val="auto"/>
        </w:rPr>
        <w:t>In the event of any payment under this Agreement, the Company shall be subrogated to the extent of such payment to all of the rights of recovery (including, without limitation, under any insurance policy) of Indemnitee, who shall execute all papers required and take all action necessary to secure such rights, including execution of such documents as are necessary to enable the Company to bring suit to enforce such rights. The Company shall pay or reimburse all expenses actually and reasonably incurred by Indemnitee in connection with such subrogation.</w:t>
      </w:r>
    </w:p>
    <w:p>
      <w:pPr>
        <w:spacing w:after="0" w:line="63" w:lineRule="exact"/>
        <w:rPr>
          <w:rFonts w:ascii="Arial" w:cs="Arial" w:eastAsia="Arial" w:hAnsi="Arial"/>
          <w:sz w:val="17"/>
          <w:szCs w:val="17"/>
          <w:color w:val="auto"/>
        </w:rPr>
      </w:pPr>
    </w:p>
    <w:p>
      <w:pPr>
        <w:jc w:val="both"/>
        <w:ind w:firstLine="458"/>
        <w:spacing w:after="0" w:line="264" w:lineRule="auto"/>
        <w:tabs>
          <w:tab w:leader="none" w:pos="70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7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Duration of Agreement</w:t>
      </w:r>
      <w:r>
        <w:rPr>
          <w:rFonts w:ascii="Arial" w:cs="Arial" w:eastAsia="Arial" w:hAnsi="Arial"/>
          <w:sz w:val="18"/>
          <w:szCs w:val="18"/>
          <w:color w:val="auto"/>
        </w:rPr>
        <w:t>. This Agreement shall continue until and terminate upon the later of: (a) ten (10) years after the date that Indemnitee shall have ceased to serve as a director of the Company or (b) one (1) year after the final termination of any Proceeding, including any appeal, then pending in respect of which Indemnitee is granted rights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ind w:right="60"/>
        <w:spacing w:after="0" w:line="255" w:lineRule="auto"/>
        <w:rPr>
          <w:sz w:val="20"/>
          <w:szCs w:val="20"/>
          <w:color w:val="auto"/>
        </w:rPr>
      </w:pPr>
      <w:r>
        <w:rPr>
          <w:rFonts w:ascii="Arial" w:cs="Arial" w:eastAsia="Arial" w:hAnsi="Arial"/>
          <w:sz w:val="18"/>
          <w:szCs w:val="18"/>
          <w:color w:val="auto"/>
        </w:rPr>
        <w:t>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w:t>
      </w:r>
    </w:p>
    <w:p>
      <w:pPr>
        <w:spacing w:after="0" w:line="46" w:lineRule="exact"/>
        <w:rPr>
          <w:sz w:val="20"/>
          <w:szCs w:val="20"/>
          <w:color w:val="auto"/>
        </w:rPr>
      </w:pPr>
    </w:p>
    <w:p>
      <w:pPr>
        <w:ind w:right="20" w:firstLine="8"/>
        <w:spacing w:after="0" w:line="290" w:lineRule="auto"/>
        <w:tabs>
          <w:tab w:leader="none" w:pos="24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117" w:lineRule="exact"/>
        <w:rPr>
          <w:sz w:val="20"/>
          <w:szCs w:val="20"/>
          <w:color w:val="auto"/>
        </w:rPr>
      </w:pPr>
    </w:p>
    <w:p>
      <w:pPr>
        <w:ind w:right="220" w:firstLine="458"/>
        <w:spacing w:after="0" w:line="264" w:lineRule="auto"/>
        <w:tabs>
          <w:tab w:leader="none" w:pos="6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or continue to serve, as a director of the Company, and the Company acknowledges that Indemnitee is relying upon this Agreement in serving as a director of the Company.</w:t>
      </w:r>
    </w:p>
    <w:p>
      <w:pPr>
        <w:spacing w:after="0" w:line="73" w:lineRule="exact"/>
        <w:rPr>
          <w:rFonts w:ascii="Arial" w:cs="Arial" w:eastAsia="Arial" w:hAnsi="Arial"/>
          <w:sz w:val="18"/>
          <w:szCs w:val="18"/>
          <w:color w:val="auto"/>
        </w:rPr>
      </w:pPr>
    </w:p>
    <w:p>
      <w:pPr>
        <w:ind w:right="80" w:firstLine="458"/>
        <w:spacing w:after="0" w:line="259" w:lineRule="auto"/>
        <w:tabs>
          <w:tab w:leader="none" w:pos="702"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is a supplement to and in furtherance of the Charter, the Bylaws and applicable law, and shall not be deemed a substitute therefor, nor to diminish or abrogate any rights of Indemnitee thereunder.</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5" w:name="page46"/>
    <w:bookmarkEnd w:id="45"/>
    <w:p>
      <w:pPr>
        <w:ind w:right="20" w:firstLine="225"/>
        <w:spacing w:after="0" w:line="259"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Notice by Indemnitee</w:t>
      </w:r>
      <w:r>
        <w:rPr>
          <w:rFonts w:ascii="Arial" w:cs="Arial" w:eastAsia="Arial" w:hAnsi="Arial"/>
          <w:sz w:val="18"/>
          <w:szCs w:val="18"/>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shall not relieve the Company of any obligation which it may have to Indemnitee under this Agreement or otherwise.</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80" w:lineRule="exact"/>
        <w:rPr>
          <w:sz w:val="20"/>
          <w:szCs w:val="20"/>
          <w:color w:val="auto"/>
        </w:rPr>
      </w:pPr>
    </w:p>
    <w:p>
      <w:pPr>
        <w:ind w:left="700" w:hanging="242"/>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to Indemnitee, at such address as Indemnitee shall provide to the Company.</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Haemonetics Corporation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400 Wood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Braintree, MA 02184</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by the Company.</w:t>
      </w:r>
    </w:p>
    <w:p>
      <w:pPr>
        <w:spacing w:after="0" w:line="117"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Contribution</w:t>
      </w:r>
      <w:r>
        <w:rPr>
          <w:rFonts w:ascii="Arial" w:cs="Arial" w:eastAsia="Arial" w:hAnsi="Arial"/>
          <w:sz w:val="17"/>
          <w:szCs w:val="17"/>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7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Internal Revenue Code Section 409A</w:t>
      </w:r>
      <w:r>
        <w:rPr>
          <w:rFonts w:ascii="Arial" w:cs="Arial" w:eastAsia="Arial" w:hAnsi="Arial"/>
          <w:sz w:val="18"/>
          <w:szCs w:val="18"/>
          <w:color w:val="auto"/>
        </w:rPr>
        <w:t>. The Company intends for this Agreement to comply with the Indemnification exception under Section 1.409A-1(b)(10) of the regulations promulgated under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ind w:right="200"/>
        <w:spacing w:after="0" w:line="277" w:lineRule="auto"/>
        <w:rPr>
          <w:sz w:val="20"/>
          <w:szCs w:val="20"/>
          <w:color w:val="auto"/>
        </w:rPr>
      </w:pPr>
      <w:r>
        <w:rPr>
          <w:rFonts w:ascii="Arial" w:cs="Arial" w:eastAsia="Arial" w:hAnsi="Arial"/>
          <w:sz w:val="18"/>
          <w:szCs w:val="18"/>
          <w:color w:val="auto"/>
        </w:rPr>
        <w:t>failures to act by Indemnitee in his capacity as a service provider of the Company. The parties intend that this Agreement be interpreted and construed with such intent.</w:t>
      </w:r>
    </w:p>
    <w:p>
      <w:pPr>
        <w:spacing w:after="0" w:line="62"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This Agreement and the legal relations among the parties shall be governed by, and construed and enforced in accordance with, the laws of the Commonwealth of Massachusetts, without regard to its conflict of laws rules. Except with respect to any arbitration commenced by Indemnitee pursuant to Section 12(a) of this Agreement, the Company and Indemnitee hereby irrevocably and unconditionally</w:t>
      </w:r>
    </w:p>
    <w:p>
      <w:pPr>
        <w:ind w:right="20" w:firstLine="8"/>
        <w:spacing w:after="0" w:line="288" w:lineRule="auto"/>
        <w:tabs>
          <w:tab w:leader="none" w:pos="2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agree that any action or proceeding arising out of or in connection with this Agreement shall be brought only in the Massachusetts Superior Court and, to the extent available, the Business Litigation Session (or any successor session) thereof (the “</w:t>
      </w:r>
      <w:r>
        <w:rPr>
          <w:rFonts w:ascii="Arial" w:cs="Arial" w:eastAsia="Arial" w:hAnsi="Arial"/>
          <w:sz w:val="16"/>
          <w:szCs w:val="16"/>
          <w:u w:val="single" w:color="auto"/>
          <w:color w:val="auto"/>
        </w:rPr>
        <w:t>Massachusetts Court</w:t>
      </w:r>
      <w:r>
        <w:rPr>
          <w:rFonts w:ascii="Arial" w:cs="Arial" w:eastAsia="Arial" w:hAnsi="Arial"/>
          <w:sz w:val="16"/>
          <w:szCs w:val="16"/>
          <w:color w:val="auto"/>
        </w:rPr>
        <w:t>”), and not in any other state or federal court in the United States of America or any court in any other country, (ii) consent to submit to the exclusive jurisdiction of the Massachusetts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Commonwealth of Massachusetts, (iv) waive any objection to the laying of venue of any such action or proceeding in the Massachusetts Court, and (v) waive, and agree not to plead or to make, any claim that any such action or proceeding brought in the Massachusetts Court has been brought in an improper or inconvenient forum.</w:t>
      </w:r>
    </w:p>
    <w:p>
      <w:pPr>
        <w:spacing w:after="0" w:line="6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62"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IN WITNESS WHEREOF, the parties have caused this Agreement to be signed as of the day and year first above written.</w:t>
      </w:r>
    </w:p>
    <w:p>
      <w:pPr>
        <w:spacing w:after="0" w:line="24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HAEMONETICS CORPORATION</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-130175</wp:posOffset>
            </wp:positionV>
            <wp:extent cx="30016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48" w:name="page49"/>
    <w:bookmarkEnd w:id="48"/>
    <w:p>
      <w:pPr>
        <w:spacing w:after="0" w:line="3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Form of Undertaking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Request for Advancement of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the Indemnification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by and between ________________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undersigned,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________ (“</w:t>
      </w:r>
      <w:r>
        <w:rPr>
          <w:rFonts w:ascii="Arial" w:cs="Arial" w:eastAsia="Arial" w:hAnsi="Arial"/>
          <w:sz w:val="16"/>
          <w:szCs w:val="16"/>
          <w:u w:val="single" w:color="auto"/>
          <w:color w:val="auto"/>
        </w:rPr>
        <w:t>Indemnitee</w:t>
      </w:r>
      <w:r>
        <w:rPr>
          <w:rFonts w:ascii="Arial" w:cs="Arial" w:eastAsia="Arial" w:hAnsi="Arial"/>
          <w:sz w:val="16"/>
          <w:szCs w:val="16"/>
          <w:color w:val="auto"/>
        </w:rPr>
        <w:t>”). Capitalized terms not defined herein shall have those meanings as set forth in the Agreement. Pursuant to Section 8 of the</w:t>
      </w:r>
    </w:p>
    <w:p>
      <w:pPr>
        <w:spacing w:after="0" w:line="3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Agreement, Indemnitee hereby requests advancement of Expenses incurred as a result of Indemnitee being, or being threatened to be made, a party in the following Proceeding(s): ______________________.</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Section 8 of the Agreement, Indemnitee hereby:</w:t>
      </w:r>
    </w:p>
    <w:p>
      <w:pPr>
        <w:spacing w:after="0" w:line="117" w:lineRule="exact"/>
        <w:rPr>
          <w:sz w:val="20"/>
          <w:szCs w:val="20"/>
          <w:color w:val="auto"/>
        </w:rPr>
      </w:pPr>
    </w:p>
    <w:p>
      <w:pPr>
        <w:ind w:left="34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affirms [his/her] good faith belief that [he/she] has met the relevant standard of conduct described in Section 8.51 of the Massachusetts Business Corporation Act (“MBCA”) or the Proceeding involves conduct for which liability has been eliminated under a provision of the Company’s articles of organization as authorized by Section 2.02(b)(4) of the MBCA; and</w:t>
      </w:r>
    </w:p>
    <w:p>
      <w:pPr>
        <w:spacing w:after="0" w:line="73" w:lineRule="exact"/>
        <w:rPr>
          <w:rFonts w:ascii="Arial" w:cs="Arial" w:eastAsia="Arial" w:hAnsi="Arial"/>
          <w:sz w:val="18"/>
          <w:szCs w:val="18"/>
          <w:color w:val="auto"/>
        </w:rPr>
      </w:pPr>
    </w:p>
    <w:p>
      <w:pPr>
        <w:ind w:left="340" w:right="20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undertakes to repay the advancement of Expenses if [he/she] is not entitled to mandatory indemnification under Section 8.52 of the MBCA and it is ultimately determined that [he/she] has not met the relevant standard of conduct described in Section 8.51 of the MBCA.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___________, Indemnitee</w:t>
      </w:r>
    </w:p>
    <w:p>
      <w:pPr>
        <w:spacing w:after="0" w:line="1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240" w:top="1440" w:right="4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7"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314"/>
        <w:spacing w:after="0" w:line="308" w:lineRule="auto"/>
        <w:tabs>
          <w:tab w:leader="none" w:pos="6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314"/>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314"/>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314"/>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Brian Concannon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Brian Concannon, President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314"/>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314"/>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314"/>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314"/>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Lindop</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Christopher Lindop, Chief Financial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Business Development</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October 1, 2011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Brian Concannon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31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553"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October 1, 2011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Lindop</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 and Vice President</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Business Development</w:t>
      </w:r>
    </w:p>
    <w:p>
      <w:pPr>
        <w:spacing w:after="0" w:line="31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lowerLetter"/>
      <w:start w:val="1"/>
    </w:lvl>
    <w:lvl w:ilvl="1">
      <w:lvlJc w:val="left"/>
      <w:lvlText w:val="(%2)"/>
      <w:numFmt w:val="lowerRoman"/>
      <w:start w:val="1"/>
    </w:lvl>
  </w:abstractNum>
  <w:abstractNum w:abstractNumId="8">
    <w:nsid w:val="3F2DBA31"/>
    <w:multiLevelType w:val="hybridMultilevel"/>
    <w:lvl w:ilvl="0">
      <w:lvlJc w:val="left"/>
      <w:lvlText w:val="(%1)"/>
      <w:numFmt w:val="lowerLetter"/>
      <w:start w:val="4"/>
    </w:lvl>
  </w:abstractNum>
  <w:abstractNum w:abstractNumId="9">
    <w:nsid w:val="7C83E458"/>
    <w:multiLevelType w:val="hybridMultilevel"/>
    <w:lvl w:ilvl="0">
      <w:lvlJc w:val="left"/>
      <w:lvlText w:val="(%1)"/>
      <w:numFmt w:val="upperLetter"/>
      <w:start w:val="1"/>
    </w:lvl>
  </w:abstractNum>
  <w:abstractNum w:abstractNumId="10">
    <w:nsid w:val="257130A3"/>
    <w:multiLevelType w:val="hybridMultilevel"/>
    <w:lvl w:ilvl="0">
      <w:lvlJc w:val="left"/>
      <w:lvlText w:val="(%1)"/>
      <w:numFmt w:val="upperLetter"/>
      <w:start w:val="1"/>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upperLetter"/>
      <w:start w:val="1"/>
    </w:lvl>
    <w:lvl w:ilvl="1">
      <w:lvlJc w:val="left"/>
      <w:lvlText w:val="(%2)"/>
      <w:numFmt w:val="lowerLetter"/>
      <w:start w:val="1"/>
    </w:lvl>
  </w:abstractNum>
  <w:abstractNum w:abstractNumId="13">
    <w:nsid w:val="628C895D"/>
    <w:multiLevelType w:val="hybridMultilevel"/>
    <w:lvl w:ilvl="0">
      <w:lvlJc w:val="left"/>
      <w:lvlText w:val="(%1)"/>
      <w:numFmt w:val="upperLetter"/>
      <w:start w:val="1"/>
    </w:lvl>
    <w:lvl w:ilvl="1">
      <w:lvlJc w:val="left"/>
      <w:lvlText w:val="(%2)"/>
      <w:numFmt w:val="lowerLetter"/>
      <w:start w:val="3"/>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decimal"/>
      <w:start w:val="1"/>
    </w:lvl>
    <w:lvl w:ilvl="1">
      <w:lvlJc w:val="left"/>
      <w:lvlText w:val="(%2)"/>
      <w:numFmt w:val="lowerLetter"/>
      <w:start w:val="1"/>
    </w:lvl>
  </w:abstractNum>
  <w:abstractNum w:abstractNumId="17">
    <w:nsid w:val="2D1D5AE9"/>
    <w:multiLevelType w:val="hybridMultilevel"/>
    <w:lvl w:ilvl="0">
      <w:lvlJc w:val="left"/>
      <w:lvlText w:val="(%1)"/>
      <w:numFmt w:val="decimal"/>
      <w:start w:val="30"/>
    </w:lvl>
    <w:lvl w:ilvl="1">
      <w:lvlJc w:val="left"/>
      <w:lvlText w:val="%2"/>
      <w:numFmt w:val="lowerLetter"/>
      <w:start w:val="1"/>
    </w:lvl>
  </w:abstractNum>
  <w:abstractNum w:abstractNumId="18">
    <w:nsid w:val="6763845E"/>
    <w:multiLevelType w:val="hybridMultilevel"/>
    <w:lvl w:ilvl="0">
      <w:lvlJc w:val="left"/>
      <w:lvlText w:val="(%1)"/>
      <w:numFmt w:val="lowerLetter"/>
      <w:start w:val="2"/>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lowerLetter"/>
      <w:start w:val="2"/>
    </w:lvl>
    <w:lvl w:ilvl="1">
      <w:lvlJc w:val="left"/>
      <w:lvlText w:val="(%2)"/>
      <w:numFmt w:val="lowerLetter"/>
      <w:start w:val="3"/>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lowerRoman"/>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2019-12-10T04:34:47Z</dcterms:created>
  <dcterms:modified xsi:type="dcterms:W3CDTF">2019-12-10T04:34:47Z</dcterms:modified>
</cp:coreProperties>
</file>