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October 1,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November 3, 2016: 51,657,694</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8"/>
          </w:tcPr>
          <w:p>
            <w:pPr>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97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Income and Comprehensive Income (Loss) - Three and Six Months Ended October 1, 2016 and</w:t>
              </w:r>
            </w:hyperlink>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September 26, 2015</w:t>
              </w:r>
            </w:hyperlink>
          </w:p>
        </w:tc>
        <w:tc>
          <w:tcPr>
            <w:tcW w:w="878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 - October 1, 2016 and Audited Consolidated Balance Sheet - April 2, 2016</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220" w:type="dxa"/>
            <w:vAlign w:val="bottom"/>
            <w:tcBorders>
              <w:top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Consolidated Statements of Cash Flows - Six Months Ended October 1, 2016 and September 26, 2015</w:t>
              </w:r>
            </w:hyperlink>
          </w:p>
        </w:tc>
        <w:tc>
          <w:tcPr>
            <w:tcW w:w="20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1"/>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Unaudited Consolidated Financial Statements</w:t>
              </w:r>
            </w:hyperlink>
          </w:p>
        </w:tc>
        <w:tc>
          <w:tcPr>
            <w:tcW w:w="4200" w:type="dxa"/>
            <w:vAlign w:val="bottom"/>
            <w:tcBorders>
              <w:top w:val="single" w:sz="8" w:color="0000EE"/>
            </w:tcBorders>
            <w:gridSpan w:val="3"/>
          </w:tcPr>
          <w:p>
            <w:pPr>
              <w:spacing w:after="0"/>
              <w:rPr>
                <w:sz w:val="21"/>
                <w:szCs w:val="21"/>
                <w:color w:val="auto"/>
              </w:rPr>
            </w:pPr>
          </w:p>
        </w:tc>
        <w:tc>
          <w:tcPr>
            <w:tcW w:w="208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w w:val="90"/>
              </w:rPr>
            </w:pPr>
            <w:hyperlink w:anchor="page18">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18</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0"/>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0"/>
              </w:rPr>
            </w:pPr>
            <w:hyperlink w:anchor="page33">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FF"/>
                <w:w w:val="91"/>
              </w:rPr>
            </w:pPr>
            <w:hyperlink w:anchor="page33">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5. (Removed and Reserved)</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7740" w:type="dxa"/>
            <w:vAlign w:val="bottom"/>
            <w:gridSpan w:val="9"/>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420" w:type="dxa"/>
            <w:vAlign w:val="bottom"/>
          </w:tcPr>
          <w:p>
            <w:pPr>
              <w:spacing w:after="0"/>
              <w:rPr>
                <w:sz w:val="24"/>
                <w:szCs w:val="24"/>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160" w:type="dxa"/>
            <w:vAlign w:val="bottom"/>
            <w:gridSpan w:val="2"/>
          </w:tcPr>
          <w:p>
            <w:pPr>
              <w:spacing w:after="0"/>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9020" w:type="dxa"/>
            <w:vAlign w:val="bottom"/>
            <w:gridSpan w:val="1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420" w:type="dxa"/>
            <w:vAlign w:val="bottom"/>
          </w:tcPr>
          <w:p>
            <w:pPr>
              <w:spacing w:after="0"/>
              <w:rPr>
                <w:sz w:val="24"/>
                <w:szCs w:val="24"/>
                <w:color w:val="auto"/>
              </w:rPr>
            </w:pPr>
          </w:p>
        </w:tc>
      </w:tr>
      <w:tr>
        <w:trPr>
          <w:trHeight w:val="507"/>
        </w:trPr>
        <w:tc>
          <w:tcPr>
            <w:tcW w:w="1160" w:type="dxa"/>
            <w:vAlign w:val="bottom"/>
            <w:tcBorders>
              <w:top w:val="single" w:sz="8" w:color="0000EE"/>
            </w:tcBorders>
            <w:gridSpan w:val="2"/>
          </w:tcPr>
          <w:p>
            <w:pPr>
              <w:spacing w:after="0"/>
              <w:rPr>
                <w:sz w:val="24"/>
                <w:szCs w:val="24"/>
                <w:color w:val="auto"/>
              </w:rPr>
            </w:pPr>
          </w:p>
        </w:tc>
        <w:tc>
          <w:tcPr>
            <w:tcW w:w="6380" w:type="dxa"/>
            <w:vAlign w:val="bottom"/>
            <w:gridSpan w:val="12"/>
          </w:tcPr>
          <w:p>
            <w:pPr>
              <w:jc w:val="right"/>
              <w:ind w:right="182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left="260" w:right="2040"/>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(LOSS)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1,</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26,</w:t>
            </w:r>
          </w:p>
        </w:tc>
      </w:tr>
      <w:tr>
        <w:trPr>
          <w:trHeight w:val="192"/>
        </w:trPr>
        <w:tc>
          <w:tcPr>
            <w:tcW w:w="5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430,209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433,106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116,005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114,396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225,270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105,297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195,304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207,836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71,118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74,565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158,618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162,177</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79,454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178,391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185,051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24,794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16,913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22,785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22,832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12,774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18,170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5,574</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19,825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12,863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9,479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12,596</w:t>
            </w:r>
          </w:p>
        </w:tc>
      </w:tr>
      <w:tr>
        <w:trPr>
          <w:trHeight w:val="311"/>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Earnings per share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 -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r>
      <w:tr>
        <w:trPr>
          <w:trHeight w:val="32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51,378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51,020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51,638</w:t>
            </w:r>
          </w:p>
        </w:tc>
      </w:tr>
      <w:tr>
        <w:trPr>
          <w:trHeight w:val="32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w:t>
            </w: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October 1,</w:t>
            </w:r>
          </w:p>
        </w:tc>
        <w:tc>
          <w:tcPr>
            <w:tcW w:w="320" w:type="dxa"/>
            <w:vAlign w:val="bottom"/>
          </w:tcPr>
          <w:p>
            <w:pPr>
              <w:spacing w:after="0"/>
              <w:rPr>
                <w:sz w:val="14"/>
                <w:szCs w:val="14"/>
                <w:color w:val="auto"/>
              </w:rPr>
            </w:pPr>
          </w:p>
        </w:tc>
        <w:tc>
          <w:tcPr>
            <w:tcW w:w="1260" w:type="dxa"/>
            <w:vAlign w:val="bottom"/>
          </w:tcPr>
          <w:p>
            <w:pPr>
              <w:jc w:val="right"/>
              <w:ind w:right="500"/>
              <w:spacing w:after="0"/>
              <w:rPr>
                <w:sz w:val="20"/>
                <w:szCs w:val="20"/>
                <w:color w:val="auto"/>
              </w:rPr>
            </w:pPr>
            <w:r>
              <w:rPr>
                <w:rFonts w:ascii="Arial" w:cs="Arial" w:eastAsia="Arial" w:hAnsi="Arial"/>
                <w:sz w:val="14"/>
                <w:szCs w:val="14"/>
                <w:b w:val="1"/>
                <w:bCs w:val="1"/>
                <w:color w:val="auto"/>
              </w:rPr>
              <w:t>April 2,</w:t>
            </w:r>
          </w:p>
        </w:tc>
      </w:tr>
      <w:tr>
        <w:trPr>
          <w:trHeight w:val="192"/>
        </w:trPr>
        <w:tc>
          <w:tcPr>
            <w:tcW w:w="180" w:type="dxa"/>
            <w:vAlign w:val="bottom"/>
            <w:tcBorders>
              <w:bottom w:val="single" w:sz="8" w:color="CCEEFF"/>
            </w:tcBorders>
          </w:tcPr>
          <w:p>
            <w:pPr>
              <w:spacing w:after="0"/>
              <w:rPr>
                <w:sz w:val="16"/>
                <w:szCs w:val="16"/>
                <w:color w:val="auto"/>
              </w:rPr>
            </w:pPr>
          </w:p>
        </w:tc>
        <w:tc>
          <w:tcPr>
            <w:tcW w:w="7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r>
      <w:tr>
        <w:trPr>
          <w:trHeight w:val="256"/>
        </w:trPr>
        <w:tc>
          <w:tcPr>
            <w:tcW w:w="180" w:type="dxa"/>
            <w:vAlign w:val="bottom"/>
            <w:shd w:val="clear" w:color="auto" w:fill="CCEEFF"/>
          </w:tcPr>
          <w:p>
            <w:pPr>
              <w:spacing w:after="0"/>
              <w:rPr>
                <w:sz w:val="22"/>
                <w:szCs w:val="22"/>
                <w:color w:val="auto"/>
              </w:rPr>
            </w:pPr>
          </w:p>
        </w:tc>
        <w:tc>
          <w:tcPr>
            <w:tcW w:w="7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7"/>
              </w:rPr>
              <w:t>(Unaudited)</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138,870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115,123</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receivable, less allowance of $2,256 at October 1, 2016 and $2,253 at April 2, 2016</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157,093</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194,511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187,028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27,406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28,842</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512,387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488,086</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339,843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337,634</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Intangible assets, less accumulated amortization of $199,110 at October 1, 2016 and $190,816 at April 2, 2016</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192,451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204,458</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268,546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267,840</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Deferred tax asset, long-term</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7,942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7,055</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14,055</w:t>
            </w:r>
          </w:p>
        </w:tc>
      </w:tr>
      <w:tr>
        <w:trPr>
          <w:trHeight w:val="284"/>
        </w:trPr>
        <w:tc>
          <w:tcPr>
            <w:tcW w:w="180" w:type="dxa"/>
            <w:vAlign w:val="bottom"/>
            <w:tcBorders>
              <w:bottom w:val="single" w:sz="8" w:color="CCEEFF"/>
            </w:tcBorders>
          </w:tcPr>
          <w:p>
            <w:pPr>
              <w:spacing w:after="0"/>
              <w:rPr>
                <w:sz w:val="24"/>
                <w:szCs w:val="24"/>
                <w:color w:val="auto"/>
              </w:rPr>
            </w:pPr>
          </w:p>
        </w:tc>
        <w:tc>
          <w:tcPr>
            <w:tcW w:w="7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1,334,826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1,319,128</w:t>
            </w:r>
          </w:p>
        </w:tc>
      </w:tr>
      <w:tr>
        <w:trPr>
          <w:trHeight w:val="22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Notes payable and current maturities of long-term debt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51,549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43,471</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42,013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39,674</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payroll and 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35,798</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64,294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66,608</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185,551</w:t>
            </w:r>
          </w:p>
        </w:tc>
      </w:tr>
      <w:tr>
        <w:trPr>
          <w:trHeight w:val="217"/>
        </w:trPr>
        <w:tc>
          <w:tcPr>
            <w:tcW w:w="1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336,505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364,529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liability, long-term</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21,377</w:t>
            </w:r>
          </w:p>
        </w:tc>
      </w:tr>
      <w:tr>
        <w:trPr>
          <w:trHeight w:val="237"/>
        </w:trPr>
        <w:tc>
          <w:tcPr>
            <w:tcW w:w="18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28,355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26,106</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180" w:type="dxa"/>
            <w:vAlign w:val="bottom"/>
          </w:tcPr>
          <w:p>
            <w:pPr>
              <w:spacing w:after="0"/>
              <w:rPr>
                <w:sz w:val="19"/>
                <w:szCs w:val="19"/>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w w:val="93"/>
              </w:rPr>
              <w:t>Common stock, $0.01 par value; Authorized — 150,000,000 shares; Issued and outstanding — 51,535,051 shares at</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180" w:type="dxa"/>
            <w:vAlign w:val="bottom"/>
          </w:tcPr>
          <w:p>
            <w:pPr>
              <w:spacing w:after="0"/>
              <w:rPr>
                <w:sz w:val="17"/>
                <w:szCs w:val="17"/>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October 1, 2016 and 50,932,348 shares at April 2, 2016</w:t>
            </w:r>
          </w:p>
        </w:tc>
        <w:tc>
          <w:tcPr>
            <w:tcW w:w="260" w:type="dxa"/>
            <w:vAlign w:val="bottom"/>
          </w:tcPr>
          <w:p>
            <w:pPr>
              <w:spacing w:after="0"/>
              <w:rPr>
                <w:sz w:val="17"/>
                <w:szCs w:val="17"/>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509</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459,651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439,912</w:t>
            </w:r>
          </w:p>
        </w:tc>
      </w:tr>
      <w:tr>
        <w:trPr>
          <w:trHeight w:val="237"/>
        </w:trPr>
        <w:tc>
          <w:tcPr>
            <w:tcW w:w="180" w:type="dxa"/>
            <w:vAlign w:val="bottom"/>
          </w:tcPr>
          <w:p>
            <w:pPr>
              <w:spacing w:after="0"/>
              <w:rPr>
                <w:sz w:val="20"/>
                <w:szCs w:val="20"/>
                <w:color w:val="auto"/>
              </w:rPr>
            </w:pPr>
          </w:p>
        </w:tc>
        <w:tc>
          <w:tcPr>
            <w:tcW w:w="79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325,663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316,184</w:t>
            </w:r>
          </w:p>
        </w:tc>
      </w:tr>
      <w:tr>
        <w:trPr>
          <w:trHeight w:val="33"/>
        </w:trPr>
        <w:tc>
          <w:tcPr>
            <w:tcW w:w="1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(35,040)</w:t>
            </w:r>
          </w:p>
        </w:tc>
      </w:tr>
      <w:tr>
        <w:trPr>
          <w:trHeight w:val="217"/>
        </w:trPr>
        <w:tc>
          <w:tcPr>
            <w:tcW w:w="1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749,114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721,565</w:t>
            </w:r>
          </w:p>
        </w:tc>
      </w:tr>
      <w:tr>
        <w:trPr>
          <w:trHeight w:val="33"/>
        </w:trPr>
        <w:tc>
          <w:tcPr>
            <w:tcW w:w="1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1,334,826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1,319,128</w:t>
            </w:r>
          </w:p>
        </w:tc>
      </w:tr>
      <w:tr>
        <w:trPr>
          <w:trHeight w:val="20"/>
        </w:trPr>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October 1,</w:t>
            </w:r>
          </w:p>
        </w:tc>
        <w:tc>
          <w:tcPr>
            <w:tcW w:w="220" w:type="dxa"/>
            <w:vAlign w:val="bottom"/>
          </w:tcPr>
          <w:p>
            <w:pPr>
              <w:spacing w:after="0"/>
              <w:rPr>
                <w:sz w:val="13"/>
                <w:szCs w:val="13"/>
                <w:color w:val="auto"/>
              </w:rPr>
            </w:pPr>
          </w:p>
        </w:tc>
        <w:tc>
          <w:tcPr>
            <w:tcW w:w="1360" w:type="dxa"/>
            <w:vAlign w:val="bottom"/>
          </w:tcPr>
          <w:p>
            <w:pPr>
              <w:jc w:val="right"/>
              <w:ind w:right="280"/>
              <w:spacing w:after="0" w:line="153" w:lineRule="exact"/>
              <w:rPr>
                <w:sz w:val="20"/>
                <w:szCs w:val="20"/>
                <w:color w:val="auto"/>
              </w:rPr>
            </w:pPr>
            <w:r>
              <w:rPr>
                <w:rFonts w:ascii="Arial" w:cs="Arial" w:eastAsia="Arial" w:hAnsi="Arial"/>
                <w:sz w:val="14"/>
                <w:szCs w:val="14"/>
                <w:b w:val="1"/>
                <w:bCs w:val="1"/>
                <w:color w:val="auto"/>
              </w:rPr>
              <w:t>September 26,</w:t>
            </w:r>
          </w:p>
        </w:tc>
      </w:tr>
      <w:tr>
        <w:trPr>
          <w:trHeight w:val="192"/>
        </w:trPr>
        <w:tc>
          <w:tcPr>
            <w:tcW w:w="8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9,479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12,596</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Non-cash items: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44,998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Asset impairments</w:t>
            </w:r>
          </w:p>
        </w:tc>
        <w:tc>
          <w:tcPr>
            <w:tcW w:w="28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2,505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88</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Unrealized gain from hedging activities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(710)</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accounts receivable and inventory</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non-cash operating activities</w:t>
            </w:r>
          </w:p>
        </w:tc>
        <w:tc>
          <w:tcPr>
            <w:tcW w:w="28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745</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receivable</w:t>
            </w:r>
          </w:p>
        </w:tc>
        <w:tc>
          <w:tcPr>
            <w:tcW w:w="28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6,807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prepaid income taxes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other assets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Change in accounts payable and accrued expenses</w:t>
            </w:r>
          </w:p>
        </w:tc>
        <w:tc>
          <w:tcPr>
            <w:tcW w:w="28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6,169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(27,073)</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69,960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36,761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(50,130)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293</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acquisitions and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(41,427)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(52,837)</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(decrease) increase in short-term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6,924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Repayment of term loan borrowings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(18,970)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2,263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13,532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8,374</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(60,984)</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(43,981)</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23,747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(60,415)</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115,123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160,662</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138,870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100,247</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4,118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4,162</w:t>
            </w:r>
          </w:p>
        </w:tc>
      </w:tr>
      <w:tr>
        <w:trPr>
          <w:trHeight w:val="33"/>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Income taxes paid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Transfers from inventory to fixed assets for placement of Haemonetics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3,477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5,550</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ind w:right="8960" w:firstLine="8"/>
        <w:spacing w:after="0" w:line="533" w:lineRule="auto"/>
        <w:tabs>
          <w:tab w:leader="none" w:pos="1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Basis of Presentation</w:t>
      </w:r>
    </w:p>
    <w:p>
      <w:pPr>
        <w:spacing w:after="0" w:line="288"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six months ended October 1, 2016 are not necessarily indicative of the results that may be expected for the full fiscal year ending April 1, 2017, or any other interim period. Operating results for the six months ended September 26, 2015 include the correction of an understatement of the provision for income taxes in fiscal 2015, which was determined to be immaterial to all periods impacted. Absent this correction, our net income for the six months ended September 26, 2015 would have been $1.0 million higher than the amount included in the accompanying Consolidated Statements of Income and Comprehensive Income (Loss). These unaudited consolidated financial statements should be read in conjunction with our audited consolidated financial statements and footnotes included in our annual report on Form 10-K for the fiscal year ended April 2, 2016.</w:t>
      </w:r>
    </w:p>
    <w:p>
      <w:pPr>
        <w:spacing w:after="0" w:line="16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 xml:space="preserve">We consider events or transactions that occur after the balance sheet date but prior to the issuance of the financial statements to provide additional evidence relative to certain estimates or to identify matters that require additional disclosure. Refer to Note 9, </w:t>
      </w:r>
      <w:r>
        <w:rPr>
          <w:rFonts w:ascii="Arial" w:cs="Arial" w:eastAsia="Arial" w:hAnsi="Arial"/>
          <w:sz w:val="16"/>
          <w:szCs w:val="16"/>
          <w:i w:val="1"/>
          <w:iCs w:val="1"/>
          <w:color w:val="auto"/>
        </w:rPr>
        <w:t>Debt</w:t>
      </w:r>
      <w:r>
        <w:rPr>
          <w:rFonts w:ascii="Arial" w:cs="Arial" w:eastAsia="Arial" w:hAnsi="Arial"/>
          <w:sz w:val="16"/>
          <w:szCs w:val="16"/>
          <w:color w:val="auto"/>
        </w:rPr>
        <w:t>, for information pertaining to a debt payment that was made after the balance sheet date but prior to the issuance of the financial statements. There were no other subsequent events identified.</w:t>
      </w:r>
    </w:p>
    <w:p>
      <w:pPr>
        <w:spacing w:after="0" w:line="359" w:lineRule="exact"/>
        <w:rPr>
          <w:sz w:val="20"/>
          <w:szCs w:val="20"/>
          <w:color w:val="auto"/>
        </w:rPr>
      </w:pPr>
    </w:p>
    <w:p>
      <w:pPr>
        <w:ind w:right="7320" w:firstLine="8"/>
        <w:spacing w:after="0" w:line="34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u w:val="single" w:color="auto"/>
          <w:color w:val="auto"/>
        </w:rPr>
        <w:t>Standards Implemented</w:t>
      </w:r>
    </w:p>
    <w:p>
      <w:pPr>
        <w:spacing w:after="0" w:line="5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Compensation—Stock Compensation (Topic 718): Accounting for Share-Based Payments When the Terms</w:t>
      </w:r>
      <w:r>
        <w:rPr>
          <w:rFonts w:ascii="Arial" w:cs="Arial" w:eastAsia="Arial" w:hAnsi="Arial"/>
          <w:sz w:val="16"/>
          <w:szCs w:val="16"/>
          <w:color w:val="auto"/>
        </w:rPr>
        <w:t xml:space="preserve"> </w:t>
      </w:r>
      <w:r>
        <w:rPr>
          <w:rFonts w:ascii="Arial" w:cs="Arial" w:eastAsia="Arial" w:hAnsi="Arial"/>
          <w:sz w:val="16"/>
          <w:szCs w:val="16"/>
          <w:i w:val="1"/>
          <w:iCs w:val="1"/>
          <w:color w:val="auto"/>
        </w:rPr>
        <w:t>of an Award Provide That a Performance Target Could Be Achieved after the Requisite Service Period</w:t>
      </w:r>
      <w:r>
        <w:rPr>
          <w:rFonts w:ascii="Arial" w:cs="Arial" w:eastAsia="Arial" w:hAnsi="Arial"/>
          <w:sz w:val="16"/>
          <w:szCs w:val="16"/>
          <w:color w:val="auto"/>
        </w:rPr>
        <w:t>. ASU No. 2014-12 requires that a performance target</w:t>
      </w:r>
      <w:r>
        <w:rPr>
          <w:rFonts w:ascii="Arial" w:cs="Arial" w:eastAsia="Arial" w:hAnsi="Arial"/>
          <w:sz w:val="16"/>
          <w:szCs w:val="16"/>
          <w:i w:val="1"/>
          <w:iCs w:val="1"/>
          <w:color w:val="auto"/>
        </w:rPr>
        <w:t xml:space="preserve"> </w:t>
      </w:r>
      <w:r>
        <w:rPr>
          <w:rFonts w:ascii="Arial" w:cs="Arial" w:eastAsia="Arial" w:hAnsi="Arial"/>
          <w:sz w:val="16"/>
          <w:szCs w:val="16"/>
          <w:color w:val="auto"/>
        </w:rPr>
        <w:t>that affects vesting and could be achieved after the requisite service period be treated as a performance condition. A reporting entity should apply existing guidance in ASC 718, Compensation—Stock Compensation, as it relates to such awards. We adopted ASU No. 2014-12 in our first quarter of fiscal 2017 using the prospective method. The adoption of ASU No. 2014-12 did not have a material effect on our financial position or results of operations.</w:t>
      </w:r>
    </w:p>
    <w:p>
      <w:pPr>
        <w:spacing w:after="0" w:line="15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In August 2015, the FASB issued ASU No. 2015-12, </w:t>
      </w:r>
      <w:r>
        <w:rPr>
          <w:rFonts w:ascii="Arial" w:cs="Arial" w:eastAsia="Arial" w:hAnsi="Arial"/>
          <w:sz w:val="18"/>
          <w:szCs w:val="18"/>
          <w:i w:val="1"/>
          <w:iCs w:val="1"/>
          <w:color w:val="auto"/>
        </w:rPr>
        <w:t>Plan Accounting: Defined Benefit Pension Plans (Topic 960), Defined Contribution Pension Plans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962), Health and Welfare Benefit Plans (Topic 965): (Part I) Fully Benefit-Responsive Investment Contracts, (Part II) Plan Investment Disclosures, (Part III) Measurement Date Practical Expedient</w:t>
      </w:r>
      <w:r>
        <w:rPr>
          <w:rFonts w:ascii="Arial" w:cs="Arial" w:eastAsia="Arial" w:hAnsi="Arial"/>
          <w:sz w:val="18"/>
          <w:szCs w:val="18"/>
          <w:color w:val="auto"/>
        </w:rPr>
        <w:t>. Part I of ASU No. 2015-12 designates contract value as the only required measure for fully benefit-responsive investment contracts. Part II simplifies the investment disclosure requirements under Topics 820, 960, 962, and 965 for employee benefits plans and Part III provides a measurement date practical expedient for fiscal periods that do not coincide with a month-end date. ASU No. 2015-12 was effective for fiscal years beginning after December 15, 2015 with early adoption permitted. The adoption of ASU No. 2015-12 did not have a material effect on our financial position or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26,</w:t>
            </w:r>
          </w:p>
        </w:tc>
      </w:tr>
      <w:tr>
        <w:trPr>
          <w:trHeight w:val="192"/>
        </w:trPr>
        <w:tc>
          <w:tcPr>
            <w:tcW w:w="596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19,825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12,596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51,200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51,020</w:t>
            </w:r>
          </w:p>
        </w:tc>
      </w:tr>
      <w:tr>
        <w:trPr>
          <w:trHeight w:val="297"/>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income per share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0.25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0.19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0.25</w:t>
            </w: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19,825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9,479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12,596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51,020</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618</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51,463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51,638</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Diluted income per share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0.25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0.18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0.24</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per share is calculated using our weighted-average outstanding common shares. Diluted earnings per share is calculated using our weighted-average outstanding common shares including the dilutive effect of stock awards as determined under the treasury stock method. For both the three and six months ended October 1, 2016, weighted average shares outstanding, assuming dilution, excludes the impact of 1.7 million anti-dilutive shares. For the three and six months ended September 26, 2015, weighted average shares outstanding, assuming dilution, excludes the impact of 1.6 million and 1.1 million anti-dilutive shares,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PRODUCT WARRANTIES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provide warranty on parts and labor for one year after the sale and installation of each device. We also warrant our disposables products through their use or expiration. We estimate our potential warranty expense based on our historical warranty experience and periodically assess the adequacy of our warranty accrual, making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97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September 26,</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704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497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using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1,</w:t>
            </w:r>
          </w:p>
        </w:tc>
        <w:tc>
          <w:tcPr>
            <w:tcW w:w="340" w:type="dxa"/>
            <w:vAlign w:val="bottom"/>
          </w:tcPr>
          <w:p>
            <w:pPr>
              <w:spacing w:after="0"/>
              <w:rPr>
                <w:sz w:val="14"/>
                <w:szCs w:val="14"/>
                <w:color w:val="auto"/>
              </w:rPr>
            </w:pPr>
          </w:p>
        </w:tc>
        <w:tc>
          <w:tcPr>
            <w:tcW w:w="1260" w:type="dxa"/>
            <w:vAlign w:val="bottom"/>
          </w:tcPr>
          <w:p>
            <w:pPr>
              <w:jc w:val="right"/>
              <w:ind w:right="496"/>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9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62,062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11,652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13,180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126,373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111,786</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466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194,511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187,028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540" w:type="dxa"/>
            <w:vAlign w:val="bottom"/>
            <w:vMerge w:val="restart"/>
          </w:tcPr>
          <w:p>
            <w:pPr>
              <w:jc w:val="right"/>
              <w:ind w:right="215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6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fiscal 2016, as a result of our annual impairment test, we determined that the estimated fair value of all of our reporting units exceeded their respective carrying values, with the exception of Europe, Middle East and Africa (collectively "EMEA"), for which we recorded a goodwill impairment charge. As of that test date, the reporting unit that was most at risk of impairment in future periods was the Americas Blood Center and Hospital, which had an excess fair value over carrying value of approximately 25.8% and allocated goodwill of $175.9 million. We believe that our assumptions used to determine the fair value of the Americas Blood Center and Hospital reporting unit were reasonable. If different assumptions were to be used, particularly with respect to estimating future cash flows, or if actual operating results and cash flows of the Americas Blood Center and Hospital differ from the estimated operating results and related cash flows, there is the potential that an impairment charge could result in future periods. Additionally, changes to the discount rate or the long-term growth rate could also give rise to an impairment in future periods. During the second quarter of fiscal 2017, there were no new or additional impairment indicators associated with this reporting unit.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FAIR VALUE MEASUREMENTS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manufacture, market and sell our products globally. For the six months ended October 1, 2016, 40.6% of our sales were generated outside the U.S. in local currencies. We also incur certain manufacturing, marketing and selling costs in international markets in local currency.</w:t>
      </w:r>
    </w:p>
    <w:p>
      <w:pPr>
        <w:spacing w:after="0" w:line="17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Australian Dollar, Canadian Dollar and the Mexican Peso.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All of our designated foreign currency hedge contracts as of October 1, 2016 and April 2, 2016 were cash flow hedges under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We record the effective portion of any change in the fair value of designated foreign currency hedge contracts in Other Comprehensive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(Loss)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$105.0 million as of October 1, 2016 and $107.4 million as of April 2, 2016. At October 1, 2016, losses of $5.7 million, net of tax, will be reclassified to earnings within the next twelve months. Substantially all currency cash flow hedges outstanding as of October 1, 2016 mature within twelve months.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$50.0 million as of October 1, 2016 and $48.8 million as of April 2,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21, 2012, we entered into two interest rate swap agreements (the "Swaps") on a total notional amount of $250.0 million of debt. The Swaps are amortizing and mature on August 1, 2017. We designated the Swaps as cash flow hedges of variable interest rate risk associated with $250.0 million of indebtedness. As of October 1, 2016, the notional amount of these Swaps was $150.0 million. For three and six months ended October 1, 2016 and September 26, 2015, we recorded nominal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activity in Accumulated Other Comprehensive Loss to recognize the effective portion of the fair value of interest rate swaps that qualify as cash flow hedges.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ASC Topic 815 in our consolidated statements of income and comprehensive income (loss) for the six months ended October 1, 2016:</w:t>
      </w:r>
    </w:p>
    <w:p>
      <w:pPr>
        <w:sectPr>
          <w:pgSz w:w="11900" w:h="16838" w:orient="portrait"/>
          <w:cols w:equalWidth="0" w:num="1">
            <w:col w:w="11420"/>
          </w:cols>
          <w:pgMar w:left="240" w:top="125" w:right="239" w:bottom="1440" w:gutter="0" w:footer="0" w:header="0"/>
        </w:sectPr>
      </w:pP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7"/>
              </w:rPr>
              <w:t>Amount of (Loss) Gain</w:t>
            </w:r>
          </w:p>
        </w:tc>
        <w:tc>
          <w:tcPr>
            <w:tcW w:w="180" w:type="dxa"/>
            <w:vAlign w:val="bottom"/>
          </w:tcPr>
          <w:p>
            <w:pPr>
              <w:spacing w:after="0"/>
              <w:rPr>
                <w:sz w:val="14"/>
                <w:szCs w:val="14"/>
                <w:color w:val="auto"/>
              </w:rPr>
            </w:pPr>
          </w:p>
        </w:tc>
        <w:tc>
          <w:tcPr>
            <w:tcW w:w="1520" w:type="dxa"/>
            <w:vAlign w:val="bottom"/>
          </w:tcPr>
          <w:p>
            <w:pPr>
              <w:jc w:val="center"/>
              <w:ind w:right="79"/>
              <w:spacing w:after="0"/>
              <w:rPr>
                <w:sz w:val="20"/>
                <w:szCs w:val="20"/>
                <w:color w:val="auto"/>
              </w:rPr>
            </w:pPr>
            <w:r>
              <w:rPr>
                <w:rFonts w:ascii="Arial" w:cs="Arial" w:eastAsia="Arial" w:hAnsi="Arial"/>
                <w:sz w:val="14"/>
                <w:szCs w:val="14"/>
                <w:color w:val="auto"/>
                <w:w w:val="97"/>
              </w:rPr>
              <w:t>Amount of (Loss) Gain</w:t>
            </w:r>
          </w:p>
        </w:tc>
        <w:tc>
          <w:tcPr>
            <w:tcW w:w="1960" w:type="dxa"/>
            <w:vAlign w:val="bottom"/>
            <w:vMerge w:val="restart"/>
          </w:tcPr>
          <w:p>
            <w:pPr>
              <w:jc w:val="center"/>
              <w:ind w:left="19"/>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520" w:type="dxa"/>
            <w:vAlign w:val="bottom"/>
            <w:vMerge w:val="restart"/>
          </w:tcPr>
          <w:p>
            <w:pPr>
              <w:jc w:val="center"/>
              <w:ind w:right="79"/>
              <w:spacing w:after="0" w:line="149" w:lineRule="exact"/>
              <w:rPr>
                <w:sz w:val="20"/>
                <w:szCs w:val="20"/>
                <w:color w:val="auto"/>
              </w:rPr>
            </w:pPr>
            <w:r>
              <w:rPr>
                <w:rFonts w:ascii="Arial" w:cs="Arial" w:eastAsia="Arial" w:hAnsi="Arial"/>
                <w:sz w:val="14"/>
                <w:szCs w:val="14"/>
                <w:color w:val="auto"/>
                <w:w w:val="95"/>
              </w:rPr>
              <w:t>Reclassified</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Recognized</w:t>
            </w: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960" w:type="dxa"/>
            <w:vAlign w:val="bottom"/>
            <w:vMerge w:val="restart"/>
          </w:tcPr>
          <w:p>
            <w:pPr>
              <w:jc w:val="center"/>
              <w:ind w:left="19"/>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4"/>
              </w:rPr>
              <w:t>from Accumulated Other</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line="149" w:lineRule="exact"/>
              <w:rPr>
                <w:sz w:val="20"/>
                <w:szCs w:val="20"/>
                <w:color w:val="auto"/>
              </w:rPr>
            </w:pPr>
            <w:r>
              <w:rPr>
                <w:rFonts w:ascii="Arial" w:cs="Arial" w:eastAsia="Arial" w:hAnsi="Arial"/>
                <w:sz w:val="14"/>
                <w:szCs w:val="14"/>
                <w:color w:val="auto"/>
                <w:w w:val="95"/>
              </w:rPr>
              <w:t>in Accumulated Other</w:t>
            </w:r>
          </w:p>
        </w:tc>
        <w:tc>
          <w:tcPr>
            <w:tcW w:w="1700" w:type="dxa"/>
            <w:vAlign w:val="bottom"/>
            <w:gridSpan w:val="2"/>
            <w:vMerge w:val="continue"/>
          </w:tcPr>
          <w:p>
            <w:pPr>
              <w:spacing w:after="0"/>
              <w:rPr>
                <w:sz w:val="7"/>
                <w:szCs w:val="7"/>
                <w:color w:val="auto"/>
              </w:rPr>
            </w:pPr>
          </w:p>
        </w:tc>
        <w:tc>
          <w:tcPr>
            <w:tcW w:w="1960" w:type="dxa"/>
            <w:vAlign w:val="bottom"/>
            <w:vMerge w:val="restart"/>
          </w:tcPr>
          <w:p>
            <w:pPr>
              <w:jc w:val="center"/>
              <w:ind w:left="19"/>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7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auto"/>
                <w:w w:val="93"/>
              </w:rPr>
              <w:t>Comprehensive Loss into</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vMerge w:val="restart"/>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700" w:type="dxa"/>
            <w:vAlign w:val="bottom"/>
            <w:gridSpan w:val="2"/>
            <w:vMerge w:val="continue"/>
          </w:tcPr>
          <w:p>
            <w:pPr>
              <w:spacing w:after="0"/>
              <w:rPr>
                <w:sz w:val="7"/>
                <w:szCs w:val="7"/>
                <w:color w:val="auto"/>
              </w:rPr>
            </w:pPr>
          </w:p>
        </w:tc>
        <w:tc>
          <w:tcPr>
            <w:tcW w:w="1960" w:type="dxa"/>
            <w:vAlign w:val="bottom"/>
            <w:vMerge w:val="restart"/>
          </w:tcPr>
          <w:p>
            <w:pPr>
              <w:jc w:val="center"/>
              <w:ind w:left="19"/>
              <w:spacing w:after="0"/>
              <w:rPr>
                <w:sz w:val="20"/>
                <w:szCs w:val="20"/>
                <w:color w:val="auto"/>
              </w:rPr>
            </w:pPr>
            <w:r>
              <w:rPr>
                <w:rFonts w:ascii="Arial" w:cs="Arial" w:eastAsia="Arial" w:hAnsi="Arial"/>
                <w:sz w:val="14"/>
                <w:szCs w:val="14"/>
                <w:color w:val="auto"/>
                <w:w w:val="92"/>
              </w:rPr>
              <w:t>Income (Loss)</w:t>
            </w:r>
          </w:p>
        </w:tc>
        <w:tc>
          <w:tcPr>
            <w:tcW w:w="0" w:type="dxa"/>
            <w:vAlign w:val="bottom"/>
          </w:tcPr>
          <w:p>
            <w:pPr>
              <w:spacing w:after="0"/>
              <w:rPr>
                <w:sz w:val="1"/>
                <w:szCs w:val="1"/>
                <w:color w:val="auto"/>
              </w:rPr>
            </w:pPr>
          </w:p>
        </w:tc>
      </w:tr>
      <w:tr>
        <w:trPr>
          <w:trHeight w:val="101"/>
        </w:trPr>
        <w:tc>
          <w:tcPr>
            <w:tcW w:w="25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vMerge w:val="restart"/>
          </w:tcPr>
          <w:p>
            <w:pPr>
              <w:jc w:val="center"/>
              <w:ind w:right="79"/>
              <w:spacing w:after="0"/>
              <w:rPr>
                <w:sz w:val="20"/>
                <w:szCs w:val="20"/>
                <w:color w:val="auto"/>
              </w:rPr>
            </w:pPr>
            <w:r>
              <w:rPr>
                <w:rFonts w:ascii="Arial" w:cs="Arial" w:eastAsia="Arial" w:hAnsi="Arial"/>
                <w:sz w:val="14"/>
                <w:szCs w:val="14"/>
                <w:color w:val="auto"/>
                <w:w w:val="94"/>
              </w:rPr>
              <w:t>Earnings</w:t>
            </w: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500" w:type="dxa"/>
            <w:vAlign w:val="bottom"/>
          </w:tcPr>
          <w:p>
            <w:pPr>
              <w:spacing w:after="0"/>
              <w:rPr>
                <w:sz w:val="20"/>
                <w:szCs w:val="20"/>
                <w:color w:val="auto"/>
              </w:rPr>
            </w:pPr>
            <w:r>
              <w:rPr>
                <w:rFonts w:ascii="Arial" w:cs="Arial" w:eastAsia="Arial" w:hAnsi="Arial"/>
                <w:sz w:val="18"/>
                <w:szCs w:val="18"/>
                <w:color w:val="auto"/>
              </w:rPr>
              <w:t>Designated foreign currency</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960" w:type="dxa"/>
            <w:vAlign w:val="bottom"/>
          </w:tcPr>
          <w:p>
            <w:pPr>
              <w:jc w:val="center"/>
              <w:ind w:left="19"/>
              <w:spacing w:after="0"/>
              <w:rPr>
                <w:sz w:val="20"/>
                <w:szCs w:val="20"/>
                <w:color w:val="auto"/>
              </w:rPr>
            </w:pPr>
            <w:r>
              <w:rPr>
                <w:rFonts w:ascii="Arial" w:cs="Arial" w:eastAsia="Arial" w:hAnsi="Arial"/>
                <w:sz w:val="18"/>
                <w:szCs w:val="18"/>
                <w:color w:val="auto"/>
                <w:w w:val="88"/>
              </w:rPr>
              <w:t>Net revenues, COGS, and</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hedge contracts, net of tax</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0"/>
              <w:spacing w:after="0"/>
              <w:rPr>
                <w:sz w:val="20"/>
                <w:szCs w:val="20"/>
                <w:color w:val="auto"/>
              </w:rPr>
            </w:pPr>
            <w:r>
              <w:rPr>
                <w:rFonts w:ascii="Arial" w:cs="Arial" w:eastAsia="Arial" w:hAnsi="Arial"/>
                <w:sz w:val="18"/>
                <w:szCs w:val="18"/>
                <w:color w:val="auto"/>
              </w:rPr>
              <w:t>(3,176)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(2,394)</w:t>
            </w:r>
          </w:p>
        </w:tc>
        <w:tc>
          <w:tcPr>
            <w:tcW w:w="1960" w:type="dxa"/>
            <w:vAlign w:val="bottom"/>
          </w:tcPr>
          <w:p>
            <w:pPr>
              <w:ind w:left="100"/>
              <w:spacing w:after="0"/>
              <w:rPr>
                <w:sz w:val="20"/>
                <w:szCs w:val="20"/>
                <w:color w:val="auto"/>
              </w:rPr>
            </w:pPr>
            <w:r>
              <w:rPr>
                <w:rFonts w:ascii="Arial" w:cs="Arial" w:eastAsia="Arial" w:hAnsi="Arial"/>
                <w:sz w:val="18"/>
                <w:szCs w:val="18"/>
                <w:color w:val="auto"/>
              </w:rPr>
              <w:t>SG&amp;A</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0"/>
                <w:szCs w:val="20"/>
                <w:color w:val="auto"/>
              </w:rPr>
            </w:pPr>
            <w:r>
              <w:rPr>
                <w:rFonts w:ascii="Arial" w:cs="Arial" w:eastAsia="Arial" w:hAnsi="Arial"/>
                <w:sz w:val="18"/>
                <w:szCs w:val="18"/>
                <w:color w:val="auto"/>
                <w:w w:val="94"/>
              </w:rPr>
              <w:t>Non-designated foreign currency</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hedge contracts</w:t>
            </w:r>
          </w:p>
        </w:tc>
        <w:tc>
          <w:tcPr>
            <w:tcW w:w="240" w:type="dxa"/>
            <w:vAlign w:val="bottom"/>
          </w:tcPr>
          <w:p>
            <w:pPr>
              <w:spacing w:after="0"/>
              <w:rPr>
                <w:sz w:val="20"/>
                <w:szCs w:val="20"/>
                <w:color w:val="auto"/>
              </w:rPr>
            </w:pPr>
          </w:p>
        </w:tc>
        <w:tc>
          <w:tcPr>
            <w:tcW w:w="1540" w:type="dxa"/>
            <w:vAlign w:val="bottom"/>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0"/>
                <w:szCs w:val="20"/>
                <w:color w:val="auto"/>
              </w:rPr>
            </w:pPr>
            <w:r>
              <w:rPr>
                <w:rFonts w:ascii="Arial" w:cs="Arial" w:eastAsia="Arial" w:hAnsi="Arial"/>
                <w:sz w:val="18"/>
                <w:szCs w:val="18"/>
                <w:color w:val="auto"/>
                <w:w w:val="98"/>
              </w:rPr>
              <w:t>Designated interest rate swaps,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net of tax</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80"/>
              <w:spacing w:after="0"/>
              <w:rPr>
                <w:sz w:val="20"/>
                <w:szCs w:val="20"/>
                <w:color w:val="auto"/>
              </w:rPr>
            </w:pPr>
            <w:r>
              <w:rPr>
                <w:rFonts w:ascii="Arial" w:cs="Arial" w:eastAsia="Arial" w:hAnsi="Arial"/>
                <w:sz w:val="18"/>
                <w:szCs w:val="18"/>
                <w:color w:val="auto"/>
              </w:rPr>
              <w:t>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960" w:type="dxa"/>
            <w:vAlign w:val="bottom"/>
          </w:tcPr>
          <w:p>
            <w:pPr>
              <w:ind w:left="10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-908685</wp:posOffset>
            </wp:positionV>
            <wp:extent cx="72466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  We exclude the difference between the spot rate and hedge forward rate from our effectiveness testing.</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28" w:type="dxa"/>
        <w:tblCellMar>
          <w:top w:w="0" w:type="dxa"/>
          <w:left w:w="0" w:type="dxa"/>
          <w:bottom w:w="0" w:type="dxa"/>
          <w:right w:w="0" w:type="dxa"/>
        </w:tblCellMar>
      </w:tblPr>
      <w:tr>
        <w:trPr>
          <w:trHeight w:val="161"/>
        </w:trPr>
        <w:tc>
          <w:tcPr>
            <w:tcW w:w="1380" w:type="dxa"/>
            <w:vAlign w:val="bottom"/>
          </w:tcPr>
          <w:p>
            <w:pPr>
              <w:jc w:val="center"/>
              <w:ind w:right="48"/>
              <w:spacing w:after="0"/>
              <w:rPr>
                <w:sz w:val="20"/>
                <w:szCs w:val="20"/>
                <w:color w:val="auto"/>
              </w:rPr>
            </w:pPr>
            <w:r>
              <w:rPr>
                <w:rFonts w:ascii="Arial" w:cs="Arial" w:eastAsia="Arial" w:hAnsi="Arial"/>
                <w:sz w:val="14"/>
                <w:szCs w:val="14"/>
                <w:color w:val="auto"/>
                <w:w w:val="96"/>
              </w:rPr>
              <w:t>Amount of Gain</w:t>
            </w:r>
          </w:p>
        </w:tc>
        <w:tc>
          <w:tcPr>
            <w:tcW w:w="1760" w:type="dxa"/>
            <w:vAlign w:val="bottom"/>
          </w:tcPr>
          <w:p>
            <w:pPr>
              <w:jc w:val="center"/>
              <w:ind w:left="68"/>
              <w:spacing w:after="0"/>
              <w:rPr>
                <w:sz w:val="20"/>
                <w:szCs w:val="20"/>
                <w:color w:val="auto"/>
              </w:rPr>
            </w:pPr>
            <w:r>
              <w:rPr>
                <w:rFonts w:ascii="Arial" w:cs="Arial" w:eastAsia="Arial" w:hAnsi="Arial"/>
                <w:sz w:val="14"/>
                <w:szCs w:val="14"/>
                <w:color w:val="auto"/>
                <w:w w:val="97"/>
              </w:rPr>
              <w:t>Location in</w:t>
            </w:r>
          </w:p>
        </w:tc>
      </w:tr>
      <w:tr>
        <w:trPr>
          <w:trHeight w:val="149"/>
        </w:trPr>
        <w:tc>
          <w:tcPr>
            <w:tcW w:w="13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(Loss) Excluded from</w:t>
            </w:r>
          </w:p>
        </w:tc>
        <w:tc>
          <w:tcPr>
            <w:tcW w:w="176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1"/>
              </w:rPr>
              <w:t>Consolidated Statements of</w:t>
            </w:r>
          </w:p>
        </w:tc>
      </w:tr>
      <w:tr>
        <w:trPr>
          <w:trHeight w:val="149"/>
        </w:trPr>
        <w:tc>
          <w:tcPr>
            <w:tcW w:w="13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3"/>
              </w:rPr>
              <w:t>Effectiveness</w:t>
            </w:r>
          </w:p>
        </w:tc>
        <w:tc>
          <w:tcPr>
            <w:tcW w:w="176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Income and Comprehensive</w:t>
            </w:r>
          </w:p>
        </w:tc>
      </w:tr>
      <w:tr>
        <w:trPr>
          <w:trHeight w:val="182"/>
        </w:trPr>
        <w:tc>
          <w:tcPr>
            <w:tcW w:w="1380" w:type="dxa"/>
            <w:vAlign w:val="bottom"/>
          </w:tcPr>
          <w:p>
            <w:pPr>
              <w:jc w:val="center"/>
              <w:ind w:right="48"/>
              <w:spacing w:after="0"/>
              <w:rPr>
                <w:sz w:val="20"/>
                <w:szCs w:val="20"/>
                <w:color w:val="auto"/>
              </w:rPr>
            </w:pPr>
            <w:r>
              <w:rPr>
                <w:rFonts w:ascii="Arial" w:cs="Arial" w:eastAsia="Arial" w:hAnsi="Arial"/>
                <w:sz w:val="14"/>
                <w:szCs w:val="14"/>
                <w:color w:val="auto"/>
                <w:w w:val="97"/>
              </w:rPr>
              <w:t>Testing *</w:t>
            </w:r>
          </w:p>
        </w:tc>
        <w:tc>
          <w:tcPr>
            <w:tcW w:w="1760" w:type="dxa"/>
            <w:vAlign w:val="bottom"/>
          </w:tcPr>
          <w:p>
            <w:pPr>
              <w:jc w:val="center"/>
              <w:ind w:left="68"/>
              <w:spacing w:after="0"/>
              <w:rPr>
                <w:sz w:val="20"/>
                <w:szCs w:val="20"/>
                <w:color w:val="auto"/>
              </w:rPr>
            </w:pPr>
            <w:r>
              <w:rPr>
                <w:rFonts w:ascii="Arial" w:cs="Arial" w:eastAsia="Arial" w:hAnsi="Arial"/>
                <w:sz w:val="14"/>
                <w:szCs w:val="14"/>
                <w:color w:val="auto"/>
                <w:w w:val="92"/>
              </w:rPr>
              <w:t>Income (Loss)</w:t>
            </w:r>
          </w:p>
        </w:tc>
      </w:tr>
    </w:tbl>
    <w:p>
      <w:pPr>
        <w:spacing w:after="0" w:line="106" w:lineRule="exact"/>
        <w:rPr>
          <w:sz w:val="20"/>
          <w:szCs w:val="20"/>
          <w:color w:val="auto"/>
        </w:rPr>
      </w:pPr>
    </w:p>
    <w:p>
      <w:pPr>
        <w:ind w:left="1468"/>
        <w:spacing w:after="0"/>
        <w:rPr>
          <w:sz w:val="20"/>
          <w:szCs w:val="20"/>
          <w:color w:val="auto"/>
        </w:rPr>
      </w:pPr>
      <w:r>
        <w:rPr>
          <w:rFonts w:ascii="Arial" w:cs="Arial" w:eastAsia="Arial" w:hAnsi="Arial"/>
          <w:sz w:val="18"/>
          <w:szCs w:val="18"/>
          <w:color w:val="auto"/>
        </w:rPr>
        <w:t>Interest and other</w:t>
      </w:r>
    </w:p>
    <w:p>
      <w:pPr>
        <w:spacing w:after="0" w:line="23" w:lineRule="exact"/>
        <w:rPr>
          <w:sz w:val="20"/>
          <w:szCs w:val="20"/>
          <w:color w:val="auto"/>
        </w:rPr>
      </w:pPr>
    </w:p>
    <w:p>
      <w:pPr>
        <w:ind w:left="968" w:hanging="968"/>
        <w:spacing w:after="0"/>
        <w:tabs>
          <w:tab w:leader="none" w:pos="968" w:val="left"/>
        </w:tabs>
        <w:numPr>
          <w:ilvl w:val="0"/>
          <w:numId w:val="3"/>
        </w:numPr>
        <w:rPr>
          <w:rFonts w:ascii="Arial" w:cs="Arial" w:eastAsia="Arial" w:hAnsi="Arial"/>
          <w:sz w:val="18"/>
          <w:szCs w:val="18"/>
          <w:color w:val="auto"/>
        </w:rPr>
      </w:pPr>
      <w:r>
        <w:rPr>
          <w:rFonts w:ascii="Arial" w:cs="Arial" w:eastAsia="Arial" w:hAnsi="Arial"/>
          <w:sz w:val="18"/>
          <w:szCs w:val="18"/>
          <w:color w:val="auto"/>
        </w:rPr>
        <w:t>223   expense, net</w:t>
      </w:r>
    </w:p>
    <w:p>
      <w:pPr>
        <w:spacing w:after="0" w:line="49" w:lineRule="exact"/>
        <w:rPr>
          <w:sz w:val="20"/>
          <w:szCs w:val="20"/>
          <w:color w:val="auto"/>
        </w:rPr>
      </w:pPr>
    </w:p>
    <w:p>
      <w:pPr>
        <w:ind w:left="1468"/>
        <w:spacing w:after="0"/>
        <w:rPr>
          <w:sz w:val="20"/>
          <w:szCs w:val="20"/>
          <w:color w:val="auto"/>
        </w:rPr>
      </w:pPr>
      <w:r>
        <w:rPr>
          <w:rFonts w:ascii="Arial" w:cs="Arial" w:eastAsia="Arial" w:hAnsi="Arial"/>
          <w:sz w:val="18"/>
          <w:szCs w:val="18"/>
          <w:color w:val="auto"/>
        </w:rPr>
        <w:t>Interest and other</w:t>
      </w:r>
    </w:p>
    <w:p>
      <w:pPr>
        <w:spacing w:after="0" w:line="23" w:lineRule="exact"/>
        <w:rPr>
          <w:sz w:val="20"/>
          <w:szCs w:val="20"/>
          <w:color w:val="auto"/>
        </w:rPr>
      </w:pPr>
    </w:p>
    <w:p>
      <w:pPr>
        <w:ind w:left="1468" w:hanging="569"/>
        <w:spacing w:after="0"/>
        <w:tabs>
          <w:tab w:leader="none" w:pos="146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 net</w:t>
      </w:r>
    </w:p>
    <w:p>
      <w:pPr>
        <w:spacing w:after="0" w:line="264" w:lineRule="exact"/>
        <w:rPr>
          <w:rFonts w:ascii="Arial" w:cs="Arial" w:eastAsia="Arial" w:hAnsi="Arial"/>
          <w:sz w:val="18"/>
          <w:szCs w:val="18"/>
          <w:color w:val="auto"/>
        </w:rPr>
      </w:pPr>
    </w:p>
    <w:p>
      <w:pPr>
        <w:ind w:left="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431" w:lineRule="exact"/>
        <w:rPr>
          <w:sz w:val="20"/>
          <w:szCs w:val="20"/>
          <w:color w:val="auto"/>
        </w:rPr>
      </w:pPr>
    </w:p>
    <w:p>
      <w:pPr>
        <w:sectPr>
          <w:pgSz w:w="11900" w:h="16838" w:orient="portrait"/>
          <w:cols w:equalWidth="0" w:num="2">
            <w:col w:w="7980" w:space="172"/>
            <w:col w:w="3268"/>
          </w:cols>
          <w:pgMar w:left="240" w:top="125" w:right="239" w:bottom="1440" w:gutter="0" w:footer="0" w:header="0"/>
          <w:type w:val="continuous"/>
        </w:sectPr>
      </w:pPr>
    </w:p>
    <w:p>
      <w:pPr>
        <w:spacing w:after="0" w:line="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did not have fair value hedges or net investment hedges outstanding as of October 1, 2016 or April 2, 2016. As of October 1, 2016, no deferred tax assets were recognized for designated foreign currency hedges.</w:t>
      </w:r>
    </w:p>
    <w:p>
      <w:pPr>
        <w:spacing w:after="0" w:line="1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October 1, 2016,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October 1, 2016 and April 2,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Location in</w:t>
            </w:r>
          </w:p>
        </w:tc>
        <w:tc>
          <w:tcPr>
            <w:tcW w:w="340" w:type="dxa"/>
            <w:vAlign w:val="bottom"/>
          </w:tcPr>
          <w:p>
            <w:pPr>
              <w:spacing w:after="0"/>
              <w:rPr>
                <w:sz w:val="14"/>
                <w:szCs w:val="14"/>
                <w:color w:val="auto"/>
              </w:rPr>
            </w:pPr>
          </w:p>
        </w:tc>
        <w:tc>
          <w:tcPr>
            <w:tcW w:w="1820" w:type="dxa"/>
            <w:vAlign w:val="bottom"/>
            <w:gridSpan w:val="2"/>
          </w:tcPr>
          <w:p>
            <w:pPr>
              <w:ind w:left="54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580" w:type="dxa"/>
            <w:vAlign w:val="bottom"/>
          </w:tcPr>
          <w:p>
            <w:pPr>
              <w:jc w:val="right"/>
              <w:ind w:right="715"/>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October 1, 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427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3,941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4,210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financial liabilities measured at fair value on a recurring basis consist of the following as of October 1, 2016 and April 2,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w w:val="92"/>
              </w:rPr>
              <w:t>As of October 1, 2016</w:t>
            </w:r>
          </w:p>
        </w:tc>
        <w:tc>
          <w:tcPr>
            <w:tcW w:w="780" w:type="dxa"/>
            <w:vAlign w:val="bottom"/>
            <w:tcBorders>
              <w:bottom w:val="single" w:sz="8" w:color="auto"/>
            </w:tcBorders>
          </w:tcPr>
          <w:p>
            <w:pPr>
              <w:spacing w:after="0"/>
              <w:rPr>
                <w:sz w:val="16"/>
                <w:szCs w:val="16"/>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94,097</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94,097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94,097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389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94,486</w:t>
            </w: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3,914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3,914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3,941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3,941</w:t>
            </w: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305"/>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April 2, 2016</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70"/>
        </w:trPr>
        <w:tc>
          <w:tcPr>
            <w:tcW w:w="8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72,491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427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72,491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427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72,918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4,056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4,210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six months ended October 1, 2016, non-designated foreign currency hedge contracts were not significant and are not disclosed separately in the above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Loan (which is carried at amortized cost), accounts receivable and accounts payable approximate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generally lower than the U.S. federal statutory rate as the income tax rates in the foreign jurisdictions in which we operate are generally lower than the U.S. statutory tax rate.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three months ended October 1, 2016 and September 26, 2015, we reported an income tax provision of $3.0 million and $3.7 million, respectively, representing effective tax rates of 13.2% and 22.4%, respectively. For the six months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ind w:right="180"/>
        <w:spacing w:after="0" w:line="277" w:lineRule="auto"/>
        <w:rPr>
          <w:sz w:val="20"/>
          <w:szCs w:val="20"/>
          <w:color w:val="auto"/>
        </w:rPr>
      </w:pPr>
      <w:r>
        <w:rPr>
          <w:rFonts w:ascii="Arial" w:cs="Arial" w:eastAsia="Arial" w:hAnsi="Arial"/>
          <w:sz w:val="18"/>
          <w:szCs w:val="18"/>
          <w:color w:val="auto"/>
        </w:rPr>
        <w:t>October 1, 2016 and September 26, 2015 we reported an income tax provision of $3.3 million and $5.6 million, respectively, representing effective tax rates of 25.8% and 30.7%, respectively.</w:t>
      </w:r>
    </w:p>
    <w:p>
      <w:pPr>
        <w:spacing w:after="0" w:line="17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decrease in our income tax provision for both the three and six months ended October 1, 2016, as compared to the prior year periods, was primarily due to changes in the jurisdictional mix of earnings. During the six months ended October 1, 2016, the income tax provision includes a discrete tax provision of $1.4 million for an uncertain tax position that was triggered by a reduction in workforce in one of our foreign subsidiaries during the first quarter of fiscal 2017. We had previously negotiated a tax holiday under which we were required to maintain certain levels of headcount for a multi-year period. During the first quarter of fiscal 2017, as a result of a reduction in workforce, we were unable to satisfy the required headcount levels and became subject to a potential tax assessment related to historical tax years. The tax provision associated with this tax reserve establishment was partially offset by a tax benefit for the release of a tax reserve due to the expiration of statute of limitations during the second quarter of fiscal 2017. We are in a three year cumulative loss position in the U.S. and, accordingly, maintain a valuation allowance against our U.S. deferred tax assets. We also maintain a valuation allowance against certain foreign deferred tax assets which we have concluded are not more-likely-than-not realizable.</w:t>
      </w:r>
    </w:p>
    <w:p>
      <w:pPr>
        <w:spacing w:after="0" w:line="16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income tax provision for the six months ended September 26, 2015 includes a discrete tax provision of $1.0 million to increase the deferred tax liability related to amortizable goodwill as a result of the statutory capital gains tax rate in Puerto Rico increasing from 15% to 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Unrecognized tax benefits represent uncertain tax positions for which reserves have been established. As of October 1, 2016 we had $3.7 million of unrecognized tax benefits, of which $1.8 million would impact the effective tax rate, if recognized. As of April 2, 2016, we had $2.5 million of unrecognized tax benefits, of which $0.6 million would impact the effective tax rate, if recognized.</w:t>
      </w:r>
    </w:p>
    <w:p>
      <w:pPr>
        <w:spacing w:after="0" w:line="1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six months ended October 1, 2016, our unrecognized tax benefits were increased by $1.3 million due to the establishment of a tax reserve for the potential tax assessment associated with a foreign subsidiary’s historical tax years as a result of a reduction in workforce which impacts a previously negotiated tax holiday.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our gross unrecognized tax benefits for the fiscal periods ended October 1, 2016 and April 2, 2016: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4"/>
                <w:szCs w:val="14"/>
                <w:color w:val="auto"/>
              </w:rPr>
            </w:pPr>
          </w:p>
        </w:tc>
        <w:tc>
          <w:tcPr>
            <w:tcW w:w="1340" w:type="dxa"/>
            <w:vAlign w:val="bottom"/>
          </w:tcPr>
          <w:p>
            <w:pPr>
              <w:jc w:val="right"/>
              <w:ind w:right="355"/>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81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October 1, 2016</w:t>
            </w:r>
          </w:p>
        </w:tc>
        <w:tc>
          <w:tcPr>
            <w:tcW w:w="260" w:type="dxa"/>
            <w:vAlign w:val="bottom"/>
          </w:tcPr>
          <w:p>
            <w:pPr>
              <w:spacing w:after="0"/>
              <w:rPr>
                <w:sz w:val="16"/>
                <w:szCs w:val="16"/>
                <w:color w:val="auto"/>
              </w:rPr>
            </w:pPr>
          </w:p>
        </w:tc>
        <w:tc>
          <w:tcPr>
            <w:tcW w:w="1340" w:type="dxa"/>
            <w:vAlign w:val="bottom"/>
          </w:tcPr>
          <w:p>
            <w:pPr>
              <w:jc w:val="right"/>
              <w:ind w:right="315"/>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340</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of tax positions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Closure of statute of limitations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3,678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2,523</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October 1, 2016, we anticipate that the liability for unrecognized tax benefits for uncertain tax positions could change by up to $1.6 million in the next twelve months, as a result of closure of various statutes of limitations or settlements.</w:t>
      </w:r>
    </w:p>
    <w:p>
      <w:pPr>
        <w:spacing w:after="0" w:line="170"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Our historic practice has been and continues to be to recognize interest and penalties related to Federal, state and foreign income tax matters in income tax expense. Approximately $0.4 million of gross interest and penalties were accrued at October 1, 2016 and April 2, 2016 and is not included in the amounts above. Tax expense associated with accrued interest and penalties was insignificant for the six months ended October 1, 2016.</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conduct business globally and, as a result, file consolidated and separate Federal, state and foreign income tax returns in multiple jurisdictions. In the normal course of business, we are subject to examination by taxing authorities throughout the world. With a few exceptions, we are no longer subject to U.S. federal, state, or local income tax examinations for years before 2012 and foreign income tax examinations for years before 2011.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1, 2012,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achievement of leverage ratios and customary credit terms which included financial and negative covenants.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No additional amounts were borrowed as a result of this modification. The fair value of debt approximates its current value of $389.0 million as of October 1, 2016. During the three and six months ended October 1, 2016, we paid $11.9 million and $19.0 million in principal repayments, respectively, for the Term Loan. In addition, on October 31, 2016, we reduced our borrowings on the Revolving Credit Facility by $20.0 million as part of our normal cash management process. We were in compliance with the leverage and interest coverage ratios specified in the Credit Agreement as well as all other bank covenants as of October 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are presently engaged in various legal actions, and although the total liability cannot be determined at the present time, based on consultation with counsel, we believe that any such liability will not materially affect our consolidated financial position or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their working clothes at the beginning and end of each shift.</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alleging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total amount of damages claimed by the plaintiffs in these matters is approximately $4.6 million. At this point in the proceedings, we believe the losses are unlikely and therefore no amounts have been accrued. In the future, we may receive other similar claims or adverse rulings from the courts which changes our judgment on these cases.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SOLX Arbitration</w:t>
      </w:r>
    </w:p>
    <w:p>
      <w:pPr>
        <w:spacing w:after="0" w:line="3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the closing in April 2013, Haemonetics paid Hemerus a total of $24 million and agreed to a $3 million milestone payment due when the U.S.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4" w:right="259" w:bottom="1440" w:gutter="0" w:footer="0" w:header="0"/>
        </w:sectPr>
      </w:pPr>
    </w:p>
    <w:bookmarkStart w:id="12" w:name="page13"/>
    <w:bookmarkEnd w:id="12"/>
    <w:p>
      <w:pPr>
        <w:ind w:right="12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commercial sales of products incorporating SOLX.</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H2 Equity claims, in part, that we owe them $3 million for the receipt of the 24-Hour Approval despite the use of a Haemonetics filter to obtain the approval and that we have failed to make commercially reasonable efforts to market and sell products incorporating SOLX. We believe that we have meritorious defenses to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accurately evaluate the likelihood or amount of any potential losses related to this claim and therefore no amounts have been accrued.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Recall</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2016, we issued a voluntary recall of certain whole blood collection kits sold to our Blood Center customers in the United States. The recall resulted from some collection sets' filters failing to adequately remove leukocytes from collected blood. Because most U.S. hospitals prefer to transfuse leukoreduced blood, our blood center customers may have conducted further tests to confirm the blood was adequately leukoreduced, sold the blood as non-leukoreduced at a lower price or discarded the blood collected using the defective sets. As a result of the recall, we have recorded total charges of $4.3 million during the six months ended October 1, 2016, which consists of $3.7 million of charges associated with customer returns and inventory reserves and $0.6 million of charges associated with customer claims, as discussed below. We may record incremental charges in future periods.</w:t>
      </w:r>
    </w:p>
    <w:p>
      <w:pPr>
        <w:spacing w:after="0" w:line="138"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We determined that the affected sets were distributed between April and June 2016; credits have been issued to customers who returned affected sets purchased during this period. During the six months ended October 1, 2016, we recorded charges of $3.7 million, which consisted of $2.5 million of estimated sales returns, $1.1 million of net inventory reserves for the affected collection sets on-hand that had not yet been shipped to customers and $0.1 million of freight expenses. Our estimate of sales returns was based on preliminary returns data received to date, however, actual customer returns are not expected to conclude until the third quarter of fiscal 2017.</w:t>
      </w:r>
    </w:p>
    <w:p>
      <w:pPr>
        <w:spacing w:after="0" w:line="202"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auto"/>
        </w:rPr>
        <w:t xml:space="preserve">Additionally, we received claims from customers which comprised substantially all the affected units. These claims seek reimbursement for losses sustained as a result of the recall and total $14.5 million. </w:t>
      </w:r>
      <w:r>
        <w:rPr>
          <w:rFonts w:ascii="Arial" w:cs="Arial" w:eastAsia="Arial" w:hAnsi="Arial"/>
          <w:sz w:val="17"/>
          <w:szCs w:val="17"/>
          <w:color w:val="auto"/>
        </w:rPr>
        <w:t>W</w:t>
      </w:r>
      <w:r>
        <w:rPr>
          <w:rFonts w:ascii="Arial" w:cs="Arial" w:eastAsia="Arial" w:hAnsi="Arial"/>
          <w:sz w:val="16"/>
          <w:szCs w:val="16"/>
          <w:color w:val="auto"/>
        </w:rPr>
        <w:t>e believe it is probable that we will incur expenses as a result of these claims and that our range of loss is $0.6 million to $14.5 million, however, we do not have sufficient information to develop a best estimate within this range. Accordingly, we have recorded a liability of $0.6 million, which represents the low end of the range. Incremental charges may be recorded in future periods as additional customer returns and claims data becomes available. We have insurance policies in place which may provide coverage for certain types of potential claims. We will assess the potential for insurance recoveries as we receive more information about customer claims in future reporting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ENTERPRISE-WIDE INFORMATION</w:t>
      </w:r>
    </w:p>
    <w:p>
      <w:pPr>
        <w:spacing w:after="0" w:line="1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determine our reportable segments by first identifying our operating segments, and then by assessing whether any components of these segments constitute a business for which discrete financial information is available and where segment management regularly reviews the operating results of that component. Our operating segments are based primarily on geography. North America Plasma is a separate operating segment with dedicated segment management due the size and scale of the plasma business. We aggregate components within an operating segment that have similar economic characteristics.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as follows:</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Japan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Europe, Middle East and Africa (collectively “EMEA”)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North America Plasma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has aggregated the following two operating segments into the All Other reportable segment based upon their similar operational and economic characteristics, including similarity of operating margin:</w:t>
      </w:r>
    </w:p>
    <w:p>
      <w:pPr>
        <w:spacing w:after="0" w:line="7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Americas Blood Center and Hospital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Asia - Pacific</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68" w:right="259" w:bottom="1440" w:gutter="0" w:footer="0" w:header="0"/>
        </w:sectPr>
      </w:pPr>
    </w:p>
    <w:bookmarkStart w:id="13" w:name="page14"/>
    <w:bookmarkEnd w:id="13"/>
    <w:p>
      <w:pPr>
        <w:spacing w:after="0" w:line="264" w:lineRule="auto"/>
        <w:rPr>
          <w:sz w:val="20"/>
          <w:szCs w:val="20"/>
          <w:color w:val="auto"/>
        </w:rPr>
      </w:pPr>
      <w:r>
        <w:rPr>
          <w:rFonts w:ascii="Arial" w:cs="Arial" w:eastAsia="Arial" w:hAnsi="Arial"/>
          <w:sz w:val="18"/>
          <w:szCs w:val="18"/>
          <w:color w:val="auto"/>
        </w:rPr>
        <w:t>In periods prior to the fourth quarter of fiscal 2016, we believed a single reportable segment was consistent with its basic organizational structure and believed aggregation was consistent with its primary basis for decision making. As a result, prior year segment information has been restated to conform with the current reportable segments.</w:t>
      </w:r>
    </w:p>
    <w:p>
      <w:pPr>
        <w:spacing w:after="0" w:line="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first quarter of fiscal 2017, management reorganized its operating segments such that certain components of All Other are now reported as components of EMEA. Accordingly, the prior year numbers have been updated to reflect this reclassification as well as other changes within the cost reporting structure that occurred in the first quarter of fiscal 2017. These changes did not have an impact on our ability to aggregate Americas Blood Center and Hospital with Asia - Pacific.</w:t>
      </w:r>
    </w:p>
    <w:p>
      <w:pPr>
        <w:spacing w:after="0" w:line="9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Management measures and evaluates the operating segments based on operating margin.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These items include restructuring and turnaround costs, deal amortization, and asset impairments. Although these amounts are excluded from segment operating income, as applicable, they are included in the reconciliations that follow. Management measures and evaluates the Company's net revenues and operating income on a constant currency basis, therefore segment information is presented on a constant currency basis.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by business segment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October 1,</w:t>
            </w:r>
          </w:p>
        </w:tc>
        <w:tc>
          <w:tcPr>
            <w:tcW w:w="14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October 1,</w:t>
            </w:r>
          </w:p>
        </w:tc>
        <w:tc>
          <w:tcPr>
            <w:tcW w:w="140" w:type="dxa"/>
            <w:vAlign w:val="bottom"/>
          </w:tcPr>
          <w:p>
            <w:pPr>
              <w:spacing w:after="0"/>
              <w:rPr>
                <w:sz w:val="13"/>
                <w:szCs w:val="13"/>
                <w:color w:val="auto"/>
              </w:rPr>
            </w:pPr>
          </w:p>
        </w:tc>
        <w:tc>
          <w:tcPr>
            <w:tcW w:w="112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Japan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18,991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19,908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33,557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37,503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97,009</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78,292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68,606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151,767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133,049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156,431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162,999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Net revenues (constant currency)</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221,627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219,492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433,429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430,560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Net revenues (reported)</w:t>
            </w:r>
          </w:p>
        </w:tc>
        <w:tc>
          <w:tcPr>
            <w:tcW w:w="14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220,253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219,693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430,209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433,106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October 1,</w:t>
            </w:r>
          </w:p>
        </w:tc>
        <w:tc>
          <w:tcPr>
            <w:tcW w:w="14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October 1,</w:t>
            </w:r>
          </w:p>
        </w:tc>
        <w:tc>
          <w:tcPr>
            <w:tcW w:w="140" w:type="dxa"/>
            <w:vAlign w:val="bottom"/>
          </w:tcPr>
          <w:p>
            <w:pPr>
              <w:spacing w:after="0"/>
              <w:rPr>
                <w:sz w:val="13"/>
                <w:szCs w:val="13"/>
                <w:color w:val="auto"/>
              </w:rPr>
            </w:pPr>
          </w:p>
        </w:tc>
        <w:tc>
          <w:tcPr>
            <w:tcW w:w="112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1"/>
              </w:rPr>
              <w:t>September 26,</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Japan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8,883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8,948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15,004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22,012</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North America Plasma</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28,272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55,549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53,464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55,965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58,474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Segment operating income (constant currency)</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78,186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77,582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147,268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150,580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 (constant currency)</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(95,526)</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Non-GAAP operating income (constant currency)</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32,770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31,307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53,401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55,054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Non-GAAP operating income (reported)</w:t>
            </w:r>
          </w:p>
        </w:tc>
        <w:tc>
          <w:tcPr>
            <w:tcW w:w="14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33,437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33,109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52,762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58,936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amounts</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Restructuring and turnaround costs</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21,347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Deal amortization</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14,804</w:t>
            </w:r>
          </w:p>
        </w:tc>
        <w:tc>
          <w:tcPr>
            <w:tcW w:w="0" w:type="dxa"/>
            <w:vAlign w:val="bottom"/>
          </w:tcPr>
          <w:p>
            <w:pPr>
              <w:spacing w:after="0"/>
              <w:rPr>
                <w:sz w:val="1"/>
                <w:szCs w:val="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24,794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19,179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16,913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22,785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14" w:name="page15"/>
    <w:bookmarkEnd w:id="14"/>
    <w:p>
      <w:pPr>
        <w:ind w:right="160"/>
        <w:spacing w:after="0" w:line="342" w:lineRule="auto"/>
        <w:rPr>
          <w:sz w:val="20"/>
          <w:szCs w:val="20"/>
          <w:color w:val="auto"/>
        </w:rPr>
      </w:pPr>
      <w:r>
        <w:rPr>
          <w:rFonts w:ascii="Arial" w:cs="Arial" w:eastAsia="Arial" w:hAnsi="Arial"/>
          <w:sz w:val="16"/>
          <w:szCs w:val="16"/>
          <w:color w:val="auto"/>
        </w:rPr>
        <w:t>In connection with the global strategic review of our business portfolio, we organized our current products into four franchises for purposes of evaluating their growth potential: Plasma, Blood Center, Cell Processing and Hemostasis Management. Management reviews revenue trends based on these franchises.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franchise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26,</w:t>
            </w:r>
          </w:p>
        </w:tc>
        <w:tc>
          <w:tcPr>
            <w:tcW w:w="12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1, 2016</w:t>
            </w:r>
          </w:p>
        </w:tc>
        <w:tc>
          <w:tcPr>
            <w:tcW w:w="160" w:type="dxa"/>
            <w:vAlign w:val="bottom"/>
          </w:tcPr>
          <w:p>
            <w:pPr>
              <w:spacing w:after="0"/>
              <w:rPr>
                <w:sz w:val="13"/>
                <w:szCs w:val="13"/>
                <w:color w:val="auto"/>
              </w:rPr>
            </w:pPr>
          </w:p>
        </w:tc>
        <w:tc>
          <w:tcPr>
            <w:tcW w:w="110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3"/>
              </w:rPr>
              <w:t>September 26,</w:t>
            </w:r>
          </w:p>
        </w:tc>
        <w:tc>
          <w:tcPr>
            <w:tcW w:w="0" w:type="dxa"/>
            <w:vAlign w:val="bottom"/>
          </w:tcPr>
          <w:p>
            <w:pPr>
              <w:spacing w:after="0"/>
              <w:rPr>
                <w:sz w:val="1"/>
                <w:szCs w:val="1"/>
                <w:color w:val="auto"/>
              </w:rPr>
            </w:pPr>
          </w:p>
        </w:tc>
      </w:tr>
      <w:tr>
        <w:trPr>
          <w:trHeight w:val="192"/>
        </w:trPr>
        <w:tc>
          <w:tcPr>
            <w:tcW w:w="60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103,564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181,563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Blood Center</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74,270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84,235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145,213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167,318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25,955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52,031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55,918</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Hemostasis Management</w:t>
            </w: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16,464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31,752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28,307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220,253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219,693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430,209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433,106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Net revenues generated in our principle operating regions on a reported basis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26,</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26,</w:t>
            </w:r>
          </w:p>
        </w:tc>
      </w:tr>
      <w:tr>
        <w:trPr>
          <w:trHeight w:val="192"/>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247,726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Japan</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21,666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36,630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30,924</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Asia</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28,384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55,376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52,123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4,176</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220,253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219,693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430,209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433,106</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an ongoing basis, we review the global economy, the healthcare industry, and the markets in which we compete to identify opportunities for efficiencies, enhance commercial capabilities, align our resources and offer our customers better solutions. In order to realize these opportunities, we undertake restructuring-type activities to transform our business.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first quarter of fiscal 2017, in connection with our global strategic review, we launched a restructuring program designed to reposition our organization and improve our cost structure. This program includes both a reduction of headcount and operating costs as well as projects to simplify product lines. We may also take steps to modify our manufacturing operations to align with our strategic direction.</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expect to incur approximately $26 million of restructuring and turnaround related costs, comprised of $17 million in termination benefits and $9 million in other related exit costs. Substantially all of these charges result in cash outlays expected to be incurred during fiscal 2017. Savings from this program are estimated to be approximately $40 million in fiscal 2017. The Company is evaluating non-performing assets and business units as part of its turnaround, which may result in future cash outlays or non-cash charges. During the three and six months ended October 1, 2016, we incurred $1.1 million and $18.8 million, respectively, of restructuring and turnaround charges under this program. Additionally, during the three and six months ended October 1, 2016, we recorded $0.5 million and $1.6 million, respectively, of restructuring and turnaround charges under a prior program.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summarizes the restructuring activity for the six months ended October 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Severance and Other</w:t>
            </w:r>
          </w:p>
        </w:tc>
        <w:tc>
          <w:tcPr>
            <w:tcW w:w="240" w:type="dxa"/>
            <w:vAlign w:val="bottom"/>
          </w:tcPr>
          <w:p>
            <w:pPr>
              <w:spacing w:after="0"/>
              <w:rPr>
                <w:sz w:val="14"/>
                <w:szCs w:val="14"/>
                <w:color w:val="auto"/>
              </w:rPr>
            </w:pPr>
          </w:p>
        </w:tc>
        <w:tc>
          <w:tcPr>
            <w:tcW w:w="12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Other Costs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4"/>
                <w:szCs w:val="14"/>
                <w:color w:val="auto"/>
              </w:rPr>
            </w:pPr>
          </w:p>
        </w:tc>
        <w:tc>
          <w:tcPr>
            <w:tcW w:w="13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Total Restructuring</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Employee Costs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Write Down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2,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incurred, net of reversals</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15,192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October 1,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11,299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11,412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Substantially all of the restructuring expenses have been included as a component of selling, general and administrative expenses in the accompanying consolidated statements of income. As of October 1, 2016, we had a restructuring liability of $11.4 million, of which approximately $10.8 million is payable within the next twelve months.</w:t>
      </w:r>
    </w:p>
    <w:p>
      <w:pPr>
        <w:spacing w:after="0" w:line="18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addition to the restructuring expenses included in the table above, during the six months ended October 1, 2016, we also incurred $4.4 million of costs that do not constitute as restructuring under ASC 420, which we refer to as turnaround costs. These costs consist primarily of expenditures directly related to our restructuring initiative and include program management, implementation of the global strategic review initiatives and accelerated depreciation.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restructuring and turnaround costs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Restructuring costs</w:t>
            </w: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7"/>
              </w:rPr>
              <w:t>Six Months Ended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October 1, 2016</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26, 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October 1,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26, 2015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4,826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11,817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14,256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4,924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14,383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Turnaround costs</w:t>
            </w: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7"/>
              </w:rPr>
              <w:t>Six Months Ended</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October 1, 2016</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2015</w:t>
            </w:r>
          </w:p>
        </w:tc>
        <w:tc>
          <w:tcPr>
            <w:tcW w:w="14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October 1, 2016</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26, 2015</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 Plasma</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318"/>
        </w:trPr>
        <w:tc>
          <w:tcPr>
            <w:tcW w:w="60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restructuring and turnaround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1,597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6,652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20,413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21,468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13. CAPITALIZATION OF SOFTWARE DEVELOPMENT COSTS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capitalized $6.4 million and $8.5 million in software development costs for ongoing initiatives during the six months ended October 1, 2016 and September 26, 2015, respectively. At October 1, 2016 and April 2, 2016, we have a total of $60.1 million and $54.9 million of capitalized software costs, respectively, of which $15.1 million and $14.4 million are related to in-process software development initiatives, respectively. During the six months ended October 1, 2016 and September 26, 2015, $4.5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p>
      <w:pPr>
        <w:ind w:right="200"/>
        <w:spacing w:after="0" w:line="312" w:lineRule="auto"/>
        <w:rPr>
          <w:sz w:val="20"/>
          <w:szCs w:val="20"/>
          <w:color w:val="auto"/>
        </w:rPr>
      </w:pPr>
      <w:r>
        <w:rPr>
          <w:rFonts w:ascii="Arial" w:cs="Arial" w:eastAsia="Arial" w:hAnsi="Arial"/>
          <w:sz w:val="16"/>
          <w:szCs w:val="16"/>
          <w:color w:val="auto"/>
        </w:rPr>
        <w:t>million and $6.4 million of capitalized costs were placed into service, respectively. The costs capitalized for each project are included in intangible assets in the consolidated financial statements. We review these assets for impairment at least annually. During the six months ended October 1, 2016, we impaired $1.1 million of capitalized software. The impairment charge is classified within cost of goods sold on our consolidated statements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Net Unrealized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 Plans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Gain/Loss on</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Derivatives</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April 2,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(22,499)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(35,040)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Other comprehensive loss before reclassifications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Comprehensive Loss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2,394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as of October 1,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Presented net of income taxes, the amounts of which are insignificant.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2016 Annual Report on Form 10-K filed with the Securities and Exchange Commission (the “SEC”) on June 1, 2016. The following discussion may contain forward-looking statements and should be read in conjunction with the “Cautionary Statement Regarding Forward-Looking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Haemonetics is a global healthcare company dedicated to providing innovative products to customers involved in the processing, handling and analysis of blood. We offer a comprehensive portfolio of integrated devices and information management with the goal of helping improve clinical outcomes and reduce costs for blood and plasma collectors, hospitals, and patients around the world.</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Haemonetics develops and markets a wide range of devices and solutions to serve our customers in the blood industry. We provide plasma collection systems and software to enable plasma fractionators to make pharmaceuticals that improve patients’ lives. We provide analytical devices for measuring blood characteristics such as hemostasis that enable healthcare providers to better understand their patients’ condition before beginning medical procedures. Haemonetics makes blood processing systems and software to help blood donation enterprises more efficiently collect and track life giving blood components such as red blood cells and platelets. Finally, Haemonetics supplies systems and software that facilitate blood transfusions and cell processing.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recently undertook a global strategic review of our business portfolio to identify which end markets and product franchises have the strongest growth opportunities. As a result of that review, we organized our current products into four franchises for purposes of evaluating their growth potential: Plasma, Blood Center, Cell Processing and Hemostasis Management. “Plasma” includes plasma collection devices and disposables, plasma donor management software and anticoagulant and saline sold to plasma customers. “Blood Center” includes blood collection and processing devices and disposables for red cells, platelets and whole blood as well as related donor management software. “Cell Processing” includes surgical blood salvage systems, specialized blood cell processing systems, disposables and blood transfusion management software. “Hemostasis Management” includes devices and methodologies for measuring coagulation characteristics of blood, such as our TEG® Hemostasis Analyzer.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portfolio of products and services is designed to support multiple facets of plasma collector operations. We have a long-standing commitment to understanding our customers' collection and fractionation processes. As a result, we deliver product quality and reliability; design equipment that is durable, dependable, and easy to use; comprehensive training and support, and strong business continuity practices.</w:t>
      </w:r>
    </w:p>
    <w:p>
      <w:pPr>
        <w:spacing w:after="0" w:line="71"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offer “one stop shopping” to our plasma collection customers, enabling them to source from us the full range of products necessary for plasma collection and storage, including PCS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plasma collection equipment and disposables, plasma collection containers, and intravenous solutions, including saline. We also offer a robust portfolio of integrated information technology platforms for plasma customers to manage their donors, operations, and supply chain. Our products automate the donor interview and qualification process; streamline the workflow process in the plasma center; provide the controls necessary to evaluate donor suitability; determine the ability to release units collected; and manage unit distribution. With our software solutions, plasma collectors can manage processes across the plasma supply chain, react quickly to business changes, and identify opportunities to reduce costs.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225"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We offer automated blood component and manual whole blood collection systems to blood collection centers to collect blood products efficiently and cost effectively. We offer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(Multicomponent Collection System) brand apheresis equipment which is designed to collect specific blood components integrated from the donor. Utilizing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automated platelet collection protocols, blood centers collect one or more therapeutic “doses” of platelets during a single donation.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two-unit protocol or double red cell collection device helps blood collectors optimize the collection of red cells by automating the blood separation function, eliminating the need for laboratory processing, and enabling the collection of two units of red cells from a single donor thus maximizing the amount of red cells collected per eligible donor and helping to mitigate red cell shortages in countries where this problem exists. Blood collectors can also use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to collect one unit of red cells and a "jumbo" (double) unit of plasma, or one unit of red cells and one unit of platelets from a single donor. The MCS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plasma protocol, which provides the possibility of collecting 600-800ml of plasma for either transfusion to patients or for use by the pharmaceutical industry, completes the comprehensive portfolio of different blood component collection options on this device.</w:t>
      </w:r>
    </w:p>
    <w:p>
      <w:pPr>
        <w:spacing w:after="0" w:line="11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also offer products for manual whole blood collection and processing. Our disposable whole blood collection and component storage sets offer flexibility in collecting a unit of whole blood and the subsequent production and storage of the red blood cell, platelet, plasma products, including options for in-line or dockable filters for leukoreduction of any blood component.</w:t>
      </w:r>
    </w:p>
    <w:p>
      <w:pPr>
        <w:spacing w:after="0" w:line="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Blood Center software solutions improve efficiencies and help ensure donor safety. This includes solutions for blood drive planning, donor recruitment and retention, blood collection, component manufacturing and distribution. Combined, our solutions help blood collectors improve the safety, regulatory compliance, and efficiency of blood collection and supply.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Cell Processing</w:t>
      </w:r>
    </w:p>
    <w:p>
      <w:pPr>
        <w:spacing w:after="0" w:line="23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offer a range of solutions that significantly improve a hospital's systems for acquiring blood, storing it in the hospital, and dispensing it efficiently and correctly. Over the last few years, hospitals have become increasingly aware of their need to control costs and improve patient safety by managing blood more effectively. Our products and integrated solution platforms help hospitals optimize performance of blood acquisition, storage, and distribution.</w:t>
      </w:r>
    </w:p>
    <w:p>
      <w:pPr>
        <w:spacing w:after="0" w:line="52" w:lineRule="exact"/>
        <w:rPr>
          <w:sz w:val="20"/>
          <w:szCs w:val="20"/>
          <w:color w:val="auto"/>
        </w:rPr>
      </w:pPr>
    </w:p>
    <w:p>
      <w:pPr>
        <w:ind w:right="400"/>
        <w:spacing w:after="0" w:line="216" w:lineRule="auto"/>
        <w:rPr>
          <w:sz w:val="20"/>
          <w:szCs w:val="20"/>
          <w:color w:val="auto"/>
        </w:rPr>
      </w:pPr>
      <w:r>
        <w:rPr>
          <w:rFonts w:ascii="Arial" w:cs="Arial" w:eastAsia="Arial" w:hAnsi="Arial"/>
          <w:sz w:val="18"/>
          <w:szCs w:val="18"/>
          <w:color w:val="auto"/>
        </w:rPr>
        <w:t>The Cell Saver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is a surgical blood salvage system targeted to procedures that involve medium to high-volume blood loss, such as cardiovascular surgeries. It has become the standard of care for high blood-loss surgeries.</w:t>
      </w:r>
    </w:p>
    <w:p>
      <w:pPr>
        <w:spacing w:after="0" w:line="109" w:lineRule="exact"/>
        <w:rPr>
          <w:sz w:val="20"/>
          <w:szCs w:val="20"/>
          <w:color w:val="auto"/>
        </w:rPr>
      </w:pPr>
    </w:p>
    <w:p>
      <w:pPr>
        <w:jc w:val="both"/>
        <w:ind w:right="160"/>
        <w:spacing w:after="0" w:line="226" w:lineRule="auto"/>
        <w:rPr>
          <w:sz w:val="20"/>
          <w:szCs w:val="20"/>
          <w:color w:val="auto"/>
        </w:rPr>
      </w:pPr>
      <w:r>
        <w:rPr>
          <w:rFonts w:ascii="Arial" w:cs="Arial" w:eastAsia="Arial" w:hAnsi="Arial"/>
          <w:sz w:val="18"/>
          <w:szCs w:val="18"/>
          <w:color w:val="auto"/>
        </w:rPr>
        <w:t>The OrthoPAT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surgical blood salvage system is targeted to orthopedic procedures, such as hip and knee replacements, which involve slower, lower volume blood loss that often occurs well after surgery. The system is designed to remain with the patient following surgery, to recover blood and produce a washed red cell product for autotransfusion.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With the ACP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(Automated Cell Processor) brand, we offer a solution to automate the washing and freezing of red cell components. The automated red cell</w:t>
      </w:r>
    </w:p>
    <w:p>
      <w:pPr>
        <w:spacing w:after="0"/>
        <w:rPr>
          <w:sz w:val="20"/>
          <w:szCs w:val="20"/>
          <w:color w:val="auto"/>
        </w:rPr>
      </w:pPr>
      <w:r>
        <w:rPr>
          <w:rFonts w:ascii="Arial" w:cs="Arial" w:eastAsia="Arial" w:hAnsi="Arial"/>
          <w:sz w:val="16"/>
          <w:szCs w:val="16"/>
          <w:color w:val="auto"/>
        </w:rPr>
        <w:t>washing procedure removes plasma proteins within the red cell units to provide a safer product for transfusion to frequently transfused patients, neonates, or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patients with a history of transfusion reactions. The automated glycerolization and deglycerolization steps are required to prepare red cells for frozen storage.</w:t>
      </w:r>
    </w:p>
    <w:p>
      <w:pPr>
        <w:spacing w:after="0" w:line="13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Our Cell Processing software products help hospitals track and safely deliver stored blood products.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our software solution that helps manage blood product inventory, perform patient cross-matching, and manage transfusions. In addition, our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suite of solutions manages tracking and control of blood products from the hospital blood center through to transfusion to the patient. “Smart” blood storage devices located in or near operating suites, emergency rooms, and other parts of the hospital dispense blood units with secure control and automated traceability for efficient documentation. With our more comprehensive offerings, hospitals are better able to manage processes across the blood supply chain and identify increased opportunities to reduce costs and enhance processes.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Hemostasis Management</w:t>
      </w:r>
    </w:p>
    <w:p>
      <w:pPr>
        <w:spacing w:after="0" w:line="131"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Our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 Hemostasis Analyzer system is a blood diagnostic instrument that measures a patient's hemostasis or the ability to form and maintain blood clots. By understanding a patient’s clotting ability, clinicians can better plan for the patient’s care, deciding in advance whether to start or discontinue use of certain drugs or, determine the likelihood of the patient's need for a transfusion and which blood components will be most effective in stopping bleeding. Such planning supports better care, which can lead to lower hospital costs through a reduction in unnecessary donor blood transfusions, reduced adverse transfusion reactions, and shorter intensive care unit and hospital stays.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Initiative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first quarter of fiscal 2017, in connection with our global strategic review, we launched a restructuring program designed to reposition our organization and improve our cost structure. This program includes both a reduction of headcount and operating costs as well as projects to simplify product lines. We may also take steps to modify our manufacturing operations to align with our strategic direction.</w:t>
      </w:r>
    </w:p>
    <w:p>
      <w:pPr>
        <w:spacing w:after="0" w:line="18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expect to incur approximately $26 million of restructuring and turnaround charges, comprised of $17 million in termination benefits and $9 million in other related exit costs. Substantially all of these charges result in cash outlays expected to be incurred during fiscal 2017. Savings from this program are estimated to be approximately $40 million in fiscal 2017. The Company is evaluating non-performing assets and business units as part of its turnaround, which may result in future cash outlays or non-cash charges. During the three and six months ended October 1, 2016, we incurred $1.1 million and $18.8 million, respectively, of restructuring and turnaround charges under this program. Additionally, during the three and six months ended October 1, 2016, we recorded $0.5 million and $1.6 million, respectively, of restructuring and turnaround charges under a prior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Recall</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2016, we issued a voluntary recall of certain whole blood collection kits sold to our Blood Center customers in the United States. The recall resulted from some collection sets' filters failing to adequately remove leukocytes from collected blood. Because most U.S. hospitals prefer to transfuse leukoreduced blood, our blood center customers may have conducted further tests to confirm the blood was adequately leukoreduced, sold the blood as non-leukoreduced at a lower price or discarded the blood collected using the defective sets. As a result of the recall, we have recorded total charges of $4.3 million during the six months ended October 1, 2016, which consists of $3.7 million of charges associated with customer returns and inventory reserves and $0.6 million of charges associated with customer claims, as discussed below. We may record incremental charges in future periods.</w:t>
      </w:r>
    </w:p>
    <w:p>
      <w:pPr>
        <w:spacing w:after="0" w:line="1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During the six months ended October 1, 2016, we recorded charges of $3.7 million, which consisted of $2.5 million of sales returns, $1.1 million of net inventory reserves for the affected sets on-hand that had not yet been shipped to customers and $0.1 million of freight expenses. Our estimate of sales returns was based on preliminary returns data received to date, however, actual customer returns are not expected to conclude until the third quarter of fiscal 2017.</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Additionally, we received claims from customers which comprised substantially all the affected units. These claims seek reimbursement for losses sustained as a result of the recall and total $14.5 million. During the six months ended October 1, 2016, we have recorded a liability of $0.6 million for these claims. Incremental charges may be recorded in future periods as additional customer returns and claims data becomes available. We have insurance policies in place which may provide coverage for certain types of potential claims. We will assess the potential for insurance recoveries as we receive more information about customer claims in future reporting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Declines in U.S. Blood Center Collections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demand for whole blood disposable products in the U.S. decreased in fiscal 2016 and 2015 due to a decline in transfusion rates and actions taken by hospitals to improve blood management techniques and protocols.</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response to this trend, U.S. blood center collection groups now prefer single source vendors for their whole blood collection products and are primarily focused on obtaining the lowest average selling prices. While we saw a moderation in the rate of market decline during the second quarter of fiscal 2017, we expect continued declines in transfusion rates and the market to remain price focused and highly competitive for the foreseeable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Apheresis Red Cell Collection Arrangements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During fiscal 2016, the American Red Cross and two group purchasing organizations representing other U.S. blood collectors ("Blood Center GPOs") pursued arrangements for apheresis red cell collections. The resulting American Red Cross contract and the recommendations by both Blood Center GPOs that their members use our competitor's technology continue to negatively affect red cell revenues and gross margins. The American Red Cross contract is expected to result in our gaining 100% share of their apheresis red cell collection business and higher sales volumes, but at lower prices. The impact of the price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concessions began in the third quarter of fiscal 2016, while the transition to a higher share of the American Red Cross' business is ongoing. The expected negative impact on fiscal 2017 operating income as a result of the American Red Cross contract and expected market share losses among members of the Blood Center GPOs is approximately $12 million. Red cell disposable revenues in the U.S. totaled $13.4 million and $17.9 million during the six months ended October 1, 2016 and September 26,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Double Dose Collections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we market our platelet products globally, the dynamics of each market are significantly different. Despite modest increases in the demand for platelets in Europe and Japan, improved collection efficiencies that increase the yield of platelets per collection and more efficient use of collected platelets have resulted in a flat market for platelet usage and related disposables in these countries.</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Within this flat market, the use of "double dose" collection methods in Europe and Japan has increased. Double dose collections involve collecting two therapeutic platelet doses from one donor. Competition in double dose collection technology is intense and has negatively impacted our sales in a number of markets where these collections are prevalent. Steady increases in the use of double dose collections in Japan continued in the second quarter of fiscal 2017 and have negatively impacted our revenue and gross profit from platelet collection disposables in that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5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26,</w:t>
            </w:r>
          </w:p>
        </w:tc>
        <w:tc>
          <w:tcPr>
            <w:tcW w:w="144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w w:val="96"/>
              </w:rPr>
              <w:t>(In thousands, except per share data)</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220,253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219,693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430,209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433,106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104,248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105,297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195,304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207,836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79,454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86,118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178,391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185,051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19,179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22,785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8.7%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5.3%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Interest and other expense,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22,832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16,573</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37.8 %</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12,774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3"/>
              <w:spacing w:after="0"/>
              <w:rPr>
                <w:sz w:val="20"/>
                <w:szCs w:val="20"/>
                <w:color w:val="auto"/>
              </w:rPr>
            </w:pPr>
            <w:r>
              <w:rPr>
                <w:rFonts w:ascii="Arial" w:cs="Arial" w:eastAsia="Arial" w:hAnsi="Arial"/>
                <w:sz w:val="18"/>
                <w:szCs w:val="18"/>
                <w:color w:val="auto"/>
              </w:rPr>
              <w:t>18,170</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22.4%</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30.7%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12,863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12,596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5.9%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revenues increased 0.3% and decreased 0.7% for the three and six months ended October 1, 2016, as compared to the same periods of fiscal 2016. Without the effect of foreign exchange, net revenues increased 1.0% and 0.7% for the three and six months ended October 1, 2016, as compared to the same periods of fiscal 2016. Revenue increases in Plasma and Hemostasis Management were partially offset by declines in our Blood Center and Cell Processing franchises during the three and six months ended October 1, 2016.</w:t>
      </w:r>
    </w:p>
    <w:p>
      <w:pPr>
        <w:spacing w:after="0" w:line="18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Operating income decreased for the six months ended October 1, 2016, as compared to the same period of fiscal 2016, primarily due to product mix, including the relative sales growth of our lower margin plasma liquid solutions, pricing pressure in the U.S. blood center business and the impact of the Whole Blood filter recall. Operating income increased for the three months ended October 1, 2016, as compared to the same period in fiscal 2016, as the negative impact of product mix and pricing pressure were more than offset by cost savings initiatives and reductions in restructuring and turnaround costs.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Constant currency growth, a non-GAAP financial measure, measures the change in sales between the current and prior year periods using a constant currency conversion rate. We have provided this non-GAAP financial measure because we believe it provides meaningful information regarding our results on a consistent and comparable basis for the periods presented. Management uses this non-GAAP financial measure, in addition to financial measures in accordance with accounting principles generally accepted in the United States of America (U.S. GAAP), to evaluate our operating results. This non-GAAP financial measure should be considered supplemental to, and not a substitute for, our reported financial results prepared in accordance with U.S. GAAP.</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6"/>
              </w:rPr>
              <w:t>Three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18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3"/>
              </w:rPr>
              <w:t>September 26,</w:t>
            </w:r>
          </w:p>
        </w:tc>
        <w:tc>
          <w:tcPr>
            <w:tcW w:w="100" w:type="dxa"/>
            <w:vAlign w:val="bottom"/>
          </w:tcPr>
          <w:p>
            <w:pPr>
              <w:spacing w:after="0"/>
              <w:rPr>
                <w:sz w:val="13"/>
                <w:szCs w:val="13"/>
                <w:color w:val="auto"/>
              </w:rPr>
            </w:pP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127,031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89,410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92,662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220,253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219,693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9"/>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-228600</wp:posOffset>
            </wp:positionV>
            <wp:extent cx="1775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18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3"/>
              </w:rPr>
              <w:t>September 26,</w:t>
            </w:r>
          </w:p>
        </w:tc>
        <w:tc>
          <w:tcPr>
            <w:tcW w:w="100" w:type="dxa"/>
            <w:vAlign w:val="bottom"/>
          </w:tcPr>
          <w:p>
            <w:pPr>
              <w:spacing w:after="0"/>
              <w:rPr>
                <w:sz w:val="13"/>
                <w:szCs w:val="13"/>
                <w:color w:val="auto"/>
              </w:rPr>
            </w:pP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Currency impact</w:t>
            </w:r>
          </w:p>
        </w:tc>
        <w:tc>
          <w:tcPr>
            <w:tcW w:w="100" w:type="dxa"/>
            <w:vAlign w:val="bottom"/>
            <w:vMerge w:val="restart"/>
          </w:tcPr>
          <w:p>
            <w:pPr>
              <w:spacing w:after="0"/>
              <w:rPr>
                <w:sz w:val="13"/>
                <w:szCs w:val="13"/>
                <w:color w:val="auto"/>
              </w:rPr>
            </w:pPr>
          </w:p>
        </w:tc>
        <w:tc>
          <w:tcPr>
            <w:tcW w:w="146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256,543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247,726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173,666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185,380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430,209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433,106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10"/>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-228600</wp:posOffset>
            </wp:positionV>
            <wp:extent cx="1775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5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approximately 100 countries around the world through a combination of our direct sales force, independent distributors and agents. Our revenue generated outside the U.S. was 40.6% and 40.4% of total net revenues for the three and six months ended October 1, 2016, respectively. International sales are generally conducted in local currencies, primarily Japanese Yen, Euro, Chinese Yuan and Australian Dollars. Our revenue was negatively impacted by changes in the value of these currencies relative to the U.S. Dollar.</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placed foreign currency hedges to mitigate our exposure to foreign currency fluctuations. Relative weakness in the Japanese Yen and Euro to the U.S. Dollar is expected to negatively impact revenue and operating income during fiscal 2017.</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 by Franchise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6"/>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18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3"/>
              </w:rPr>
              <w:t>September 26,</w:t>
            </w:r>
          </w:p>
        </w:tc>
        <w:tc>
          <w:tcPr>
            <w:tcW w:w="100" w:type="dxa"/>
            <w:vAlign w:val="bottom"/>
          </w:tcPr>
          <w:p>
            <w:pPr>
              <w:spacing w:after="0"/>
              <w:rPr>
                <w:sz w:val="13"/>
                <w:szCs w:val="13"/>
                <w:color w:val="auto"/>
              </w:rPr>
            </w:pPr>
          </w:p>
        </w:tc>
        <w:tc>
          <w:tcPr>
            <w:tcW w:w="15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4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4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93,036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2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74,270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84,235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28,105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Hemostasis Management</w:t>
            </w:r>
          </w:p>
        </w:tc>
        <w:tc>
          <w:tcPr>
            <w:tcW w:w="2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16,464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14,317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220,253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219,693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11"/>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-228600</wp:posOffset>
            </wp:positionV>
            <wp:extent cx="1775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18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3"/>
              </w:rPr>
              <w:t>September 26,</w:t>
            </w:r>
          </w:p>
        </w:tc>
        <w:tc>
          <w:tcPr>
            <w:tcW w:w="100" w:type="dxa"/>
            <w:vAlign w:val="bottom"/>
          </w:tcPr>
          <w:p>
            <w:pPr>
              <w:spacing w:after="0"/>
              <w:rPr>
                <w:sz w:val="13"/>
                <w:szCs w:val="13"/>
                <w:color w:val="auto"/>
              </w:rPr>
            </w:pPr>
          </w:p>
        </w:tc>
        <w:tc>
          <w:tcPr>
            <w:tcW w:w="156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4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Currency impact</w:t>
            </w:r>
          </w:p>
        </w:tc>
        <w:tc>
          <w:tcPr>
            <w:tcW w:w="120" w:type="dxa"/>
            <w:vAlign w:val="bottom"/>
            <w:vMerge w:val="restart"/>
          </w:tcPr>
          <w:p>
            <w:pPr>
              <w:spacing w:after="0"/>
              <w:rPr>
                <w:sz w:val="13"/>
                <w:szCs w:val="13"/>
                <w:color w:val="auto"/>
              </w:rPr>
            </w:pPr>
          </w:p>
        </w:tc>
        <w:tc>
          <w:tcPr>
            <w:tcW w:w="144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growth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181,563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Blood Center</w:t>
            </w:r>
          </w:p>
        </w:tc>
        <w:tc>
          <w:tcPr>
            <w:tcW w:w="2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145,213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167,318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Cell Processing</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55,918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940" w:type="dxa"/>
            <w:vAlign w:val="bottom"/>
            <w:gridSpan w:val="2"/>
          </w:tcPr>
          <w:p>
            <w:pPr>
              <w:ind w:left="40"/>
              <w:spacing w:after="0"/>
              <w:rPr>
                <w:sz w:val="20"/>
                <w:szCs w:val="20"/>
                <w:color w:val="auto"/>
              </w:rPr>
            </w:pPr>
            <w:r>
              <w:rPr>
                <w:rFonts w:ascii="Arial" w:cs="Arial" w:eastAsia="Arial" w:hAnsi="Arial"/>
                <w:sz w:val="18"/>
                <w:szCs w:val="18"/>
                <w:color w:val="auto"/>
              </w:rPr>
              <w:t>Hemostasis Management</w:t>
            </w:r>
          </w:p>
        </w:tc>
        <w:tc>
          <w:tcPr>
            <w:tcW w:w="2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31,752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28,307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430,209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433,106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260" w:firstLine="8"/>
        <w:spacing w:after="0" w:line="273" w:lineRule="auto"/>
        <w:tabs>
          <w:tab w:leader="none" w:pos="127" w:val="left"/>
        </w:tabs>
        <w:numPr>
          <w:ilvl w:val="0"/>
          <w:numId w:val="12"/>
        </w:numPr>
        <w:rPr>
          <w:rFonts w:ascii="Arial" w:cs="Arial" w:eastAsia="Arial" w:hAnsi="Arial"/>
          <w:sz w:val="9"/>
          <w:szCs w:val="9"/>
          <w:color w:val="auto"/>
        </w:rPr>
      </w:pPr>
      <w:r>
        <w:rPr>
          <w:rFonts w:ascii="Arial" w:cs="Arial" w:eastAsia="Arial" w:hAnsi="Arial"/>
          <w:sz w:val="14"/>
          <w:szCs w:val="14"/>
          <w:color w:val="auto"/>
        </w:rPr>
        <w:t xml:space="preserve">Constant currency growth, a non-GAAP financial measure, measures the change in sales between the current and prior year periods using a constant currency. See </w:t>
      </w:r>
      <w:r>
        <w:rPr>
          <w:rFonts w:ascii="Arial" w:cs="Arial" w:eastAsia="Arial" w:hAnsi="Arial"/>
          <w:sz w:val="14"/>
          <w:szCs w:val="14"/>
          <w:i w:val="1"/>
          <w:iCs w:val="1"/>
          <w:color w:val="auto"/>
        </w:rPr>
        <w:t>"Management's Use of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-228600</wp:posOffset>
            </wp:positionV>
            <wp:extent cx="1775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22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Plasma revenue increased 11.3% and 10.8% for the three and six months ended October 1, 2016, as compared to the same periods of fiscal 2016. Without the effect of foreign exchange, plasma revenue increased 12% and 12.1% for the three and six months ended October 1, 2016, as compared to the same periods of fiscal 2016. The revenue growth was primarily driven by an increase in sales of Plasma disposables during the three and six months ended October 1, 2016.</w:t>
      </w:r>
    </w:p>
    <w:p>
      <w:pPr>
        <w:ind w:right="780"/>
        <w:spacing w:after="0" w:line="323" w:lineRule="auto"/>
        <w:rPr>
          <w:sz w:val="20"/>
          <w:szCs w:val="20"/>
          <w:color w:val="auto"/>
        </w:rPr>
      </w:pPr>
      <w:r>
        <w:rPr>
          <w:rFonts w:ascii="Arial" w:cs="Arial" w:eastAsia="Arial" w:hAnsi="Arial"/>
          <w:sz w:val="16"/>
          <w:szCs w:val="16"/>
          <w:color w:val="auto"/>
        </w:rPr>
        <w:t>This growth was the result of continued strong performance in the U.S. and includes the impact of increased sales of plasma liquid solutions, which contributed approximately $6 million and $11 million to the growth during the three and six months ended October 1, 2016,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1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Platelet revenue declined by 9.5% and 11.1% for the three and six months ended October 1, 2016, as compared to the same periods of fiscal 2016. Without the effect of foreign exchange, platelet revenue decreased 9.6% and 10.5% for the three and six months ended October 1, 2016, as compared to the same periods of fiscal 2016. The decrease during the three and six months ended October 1, 2016, excluding the impact of foreign exchange, was primarily the result of the continued market shift toward double dose collection techniques in Japan. This decrease was partially offset by growth in the China.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Red cell revenue decreased 20.1% and 23.0% for the three and six months ended October 1, 2016, as compared to the same periods of fiscal 2016. Without the effect of foreign exchange, red cell revenue decreased 19.5% and 22.4% for the three and six months ended October 1, 2016, as compared to the same periods of fiscal 2016. The decrease during the three and six months ended October 1, 2016 was driven by price reductions in our principle red cell market in the U.S. which was largely attributable to the contract we entered into with the American Red Cross during the second quarter of fiscal 2016, as well as the selection of competitive technologies by Blood Center GPOs, as discussed above. We continue to expect revenue and operating income to decline as a result of these factors.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Whole blood revenue decreased 13.0% and 15.5% for the three and six months ended October 1, 2016, as compared to the same periods of fiscal 2016. Without the effect of foreign exchange, whole blood revenue decreased 12.1% and 14.2% for the three and six months ended October 1, 2016, as compared to the same periods of fiscal 2016. While whole blood revenue decreased as compared to the prior year periods, we saw moderation in the rate of decline of this market during the second quarter of fiscal 2017. We expect continued declines in transfusion rates and the market to remain price focused and highly competitive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Cell Processing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 Salvage</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Cell Salvage revenues consist primarily of the Cell Saver and OrthoPAT products. Revenues from OrthoPAT decreased 29.4% and 24.7% for the three and six months ended October 1, 2016, as compared to the same periods of fiscal 2016. Without the effect of foreign exchange, OrthoPAT disposables revenue decreased 28.8% and 22.7% for the three and six months ended October 1, 2016, as compared to the same periods of fiscal 2016. Better blood management has reduced orthopedic blood loss and continues to impact demand for OrthoPAT. Recent trends in blood management, particularly the adoption of tranexamic acid to treat and prevent orthopedic post-operative blood loss, continue to lessen hospital use of OrthoPAT. Cell Saver revenue during the three and six months ended October 1, 2016 declined 3.9% and 3.1% as compared to the same periods of fiscal 2016. Without the effect of foreign exchange, Cell Saver revenue decreased 2.6% and 0.3% for the three and six months ended October 1, 2016, as compared with the same periods of fiscal 2016. This decrease was due to declines in Russia and Western Europe, partially offset by growth in China.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Cell Processing software revenue includes BloodTrack®, SafeTrace Tx® and other hospital software. Revenue of Cell Processing software for the three and six months ended October 1, 2016 was flat compared to the same periods of fiscal 2016. Without the effect of foreign exchange, Cell Processing software revenue increased by 3.4% and 2.4% for the three and six months ended October 1, 2016 compared to the same periods of fiscal 2016, due to SafeTrace Tx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growth in the U.S. and BloodTrack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growth in the global markets.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Hemostasis Management</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Revenue from our Hemostasis Management products increased 15.0% and 12.2% for the three and six months ended October 1, 2016, as compared to the same periods of fiscal 2016. Without the effect of foreign exchange, Hemostasis Management revenues increased 17.6% and 14.6% for the three and six months ended October 1, 2016, as compared to the same periods of fiscal 2016. The revenue increase was primarily attributable to the growth of TEG disposables, principally in the U.S. and China. We have now moved into full market release of the TEG 6s device in Australia and certain European countries, and are continuing our limited market release in the U.S. Full market release in the U.S. is expected in fiscal 2018, concurrent with additional clearances.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26,</w:t>
            </w:r>
          </w:p>
        </w:tc>
        <w:tc>
          <w:tcPr>
            <w:tcW w:w="17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 Increase/</w:t>
            </w: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26,</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104,248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105,297</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  $</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195,304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207,836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Gross profit decreased 1.0% and 6.0% for the three and six months ended October 1, 2016, as compared to the same periods of fiscal 2016. Without the effect of foreign exchange, gross profit increased 0.4% and decreased 3.7% for the three and six months ended October 1, 2016, as compared to the same periods of fiscal 2016. The gross profit margin decreased by 60 and 260 basis points for the three and six months ended October 1, 2016, as compared to the same periods of fiscal 2016. The decrease in the gross profit margin during the three months ended October 1, 2016 was primarily due to the relative sales growth of our low-margin plasma liquid solutions, price reductions in our Blood Center business and the negative impact of foreign currency. These factors, in addition to the effect of the Whole Blood filter recall, declines in our Japan platelet business, and an impairment charge related to capitalized software contributed to the decrease in gross profit margin during the six months ended October 1, 2016. These declines were partially offset by cost savings from productivity programs and a reduction in restructuring and turnaround costs. Gross profit margin continues to be impacted by the inefficiency of underutilized productive capacity.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Borders>
              <w:bottom w:val="single" w:sz="8" w:color="auto"/>
            </w:tcBorders>
          </w:tcPr>
          <w:p>
            <w:pPr>
              <w:spacing w:after="0"/>
              <w:rPr>
                <w:sz w:val="16"/>
                <w:szCs w:val="16"/>
                <w:color w:val="auto"/>
              </w:rPr>
            </w:pPr>
          </w:p>
        </w:tc>
      </w:tr>
      <w:tr>
        <w:trPr>
          <w:trHeight w:val="152"/>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26,</w:t>
            </w:r>
          </w:p>
        </w:tc>
        <w:tc>
          <w:tcPr>
            <w:tcW w:w="15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Increase/</w:t>
            </w: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26,</w:t>
            </w:r>
          </w:p>
        </w:tc>
        <w:tc>
          <w:tcPr>
            <w:tcW w:w="144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11,553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22,874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2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71,118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74,565</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158,618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162,177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79,454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86,118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178,391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185,051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244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Research and development expenses decreased 27.8% and 13.6% for the three and six months ended October 1, 2016, as compared to the same periods of fiscal 2016. Without the effect of foreign exchange, research and development expenses decreased 27.8% and 14.2% for the three and six months ended October 1, 2016, as compared to the same periods of fiscal 2016. The decrease, on a constant currency basis, for the three and six months ended October 1, 2016 was primarily driven by reduced spending on several projects in our Blood Center franchise to better align with our long-term product plans and global strategic review. In addition, changes in the timing of spending also contributed to the decline in the three months ended October 1, 2016 and such spending will be incurred in the second half of fiscal 2017. This decrease was partially offset by increased restructuring and turnaround costs for the six months ended October 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Selling, general and administrative expenses decreased 4.6% and 2.2% for the three and six months ended October 1, 2016, as compared to the same periods of fiscal 2016. Without the effect of foreign exchange, selling, general, and administrative expenses decreased 4.8% and 2.3% for the three and six months ended October 1, 2016, as compared to the same periods of fiscal 2016. The decrease for the three and six months ended October 1, 2016 was primarily the result of cost reduction initiatives and a reduction in restructuring and turnaround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Interest and other expense, net decreased 24.7% and 10.3% for the three and six months ended October 1, 2016, as compared to the same periods of fiscal 2016. Interest expense from our term loan borrowings constitutes the majority of expense reported in both periods. The decrease in interest expense for both the three and six months ended October 1, 2016 was due to reductions in the Term Loan balance as a result of principal payments. The effective interest rate on total debt outstanding as of October 1, 2016 was 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 business globally and report our results of operations in a number of foreign jurisdictions in addition to the United States. Our reported tax rate is generally lower than the U.S. federal statutory rate as the income tax rates in the foreign jurisdictions in which we operate are generally lower than the U.S. statutory tax rate.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reported income tax provision rate for the three months ended October 1, 2016 and September 26, 2015 was 13.2% and 22.4%, respectively. The reported income tax provision rate for the six months ended October 1, 2016 was 25.8%, as compared to a reported income tax provision rate of 30.7% for the six months ended September 26, 2015.</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decrease in our income tax provision for both the three and six months ended October 1, 2016, as compared to the prior year periods, was primarily due to changes in the jurisdictional mix of earnings. During the six months ended October 1, 2016, we recorded a $3.3 million tax provision, which includes a tax provision recorded on year-to-date income as well as a $1.4 million discrete tax provision associated with the establishment of a tax reserve, partially offset by a tax benefit for the release of a tax reserve due to the expiration of statute of limitations during the second quarter of fiscal 2017. During the six months ended September 26, 2015, we recorded a tax expense of $5.6 million which included a tax provision recorded on year-to-date income as well as a discrete tax provision of $1.0 million to increase the deferred tax liability related to amortizable goodwill as a result of the statutory capital gains tax rate in Puerto Rico increasing from 15% to 20%.</w:t>
      </w:r>
    </w:p>
    <w:p>
      <w:pPr>
        <w:spacing w:after="0" w:line="18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are in a three year cumulative loss position in the U.S. and, accordingly, maintain a valuation allowance against our U.S. deferred tax assets. We also maintain a valuation allowance against certain foreign deferred tax assets which we have concluded are not more-likely-than-not realizable.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1,</w:t>
            </w:r>
          </w:p>
        </w:tc>
        <w:tc>
          <w:tcPr>
            <w:tcW w:w="320" w:type="dxa"/>
            <w:vAlign w:val="bottom"/>
          </w:tcPr>
          <w:p>
            <w:pPr>
              <w:spacing w:after="0"/>
              <w:rPr>
                <w:sz w:val="14"/>
                <w:szCs w:val="14"/>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April 2,</w:t>
            </w:r>
          </w:p>
        </w:tc>
      </w:t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138,870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115,123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313,723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302,535</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70"/>
        </w:trPr>
        <w:tc>
          <w:tcPr>
            <w:tcW w:w="8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Net debt</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(249,184)</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(292,877)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2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4.6</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Net debt position is the sum of cash and cash equivalents less total debt.</w:t>
      </w:r>
    </w:p>
    <w:p>
      <w:pPr>
        <w:spacing w:after="0" w:line="1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fiscal 2017, we expect to incur approximately $26 million of restructuring and turnaround charges in connection with the restructuring program that was launched during the first quarter of fiscal 2017, which is designed to reposition our organization and improve our cost structure by approximately $40 million in fiscal 2017. During the three and six months ended October 1, 2016, we incurred $1.1 million and $18.8 million, respectively, of restructuring and turnaround charges under this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August 1, 2012,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 on August 1, 2017. Interest was based on the Adjusted LIBOR plus a range of 1.125% to 1.500% depending on achievement of leverage ratios and customary credit terms which included financial and negative covenants.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No additional amounts were borrowed as a result of this modification. The fair value of debt approximates its current value of $389.0 million as of October 1, 2016. During the three and six months ended October 1, 2016, we paid $11.9 million and $19.0 million in principal repayments, respectively, for the Term Loan. We have scheduled principal payments of $23.7 million required during the remainder of fiscal 2017. In addition, on October 31, 2016, we reduced our borrowings on the Revolving Credit Facility by $20.0 million as part of our normal cash management process. We were in compliance with the leverage and interest coverage ratios specified in the Credit Agreement as well as all other bank covenants as of October 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Six Months Ended</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2"/>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1,</w:t>
            </w:r>
          </w:p>
        </w:tc>
        <w:tc>
          <w:tcPr>
            <w:tcW w:w="180" w:type="dxa"/>
            <w:vAlign w:val="bottom"/>
          </w:tcPr>
          <w:p>
            <w:pPr>
              <w:spacing w:after="0"/>
              <w:rPr>
                <w:sz w:val="13"/>
                <w:szCs w:val="13"/>
                <w:color w:val="auto"/>
              </w:rPr>
            </w:pPr>
          </w:p>
        </w:tc>
        <w:tc>
          <w:tcPr>
            <w:tcW w:w="140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September 26,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69,960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36,761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33,199</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11,410</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(43,981)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39,406</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exchange rate changes on cash and cash equivalents</w:t>
            </w:r>
            <w:r>
              <w:rPr>
                <w:rFonts w:ascii="Arial" w:cs="Arial" w:eastAsia="Arial" w:hAnsi="Arial"/>
                <w:sz w:val="25"/>
                <w:szCs w:val="25"/>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147</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23,747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120"/>
        <w:spacing w:after="0" w:line="22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cash provided by operating activities increased by $33.2 million during the six months ended October 1, 2016, as compared to the six months ended September 26, 2015. Cash provided by operating activities increased due to a working capital inflow, which was primarily attributable to an increase in accrued expenses, most notably, accrued payroll. The increase in accrued payroll was driven largely by an increase in variable compensation and restructuring reserves. Also contributing to the cash inflow was a decrease in accounts receivable, primarily in Japan, as compared to the prior year period. This cash inflow was partially offset by an increase in inventories and a decrease in accounts payable.</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cash used in investing activities decreased by $11.4 million during the six months ended October 1, 2016, as compared to the six months ended September 26, 2015. The decrease in cash used in investing activities was primarily the result of a reduction in capital expenditures in the first half of fiscal 2016. Acquisition costs of $3.0 million incurred in the prior year period also contributed to the decrease.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cash used in financing activities decreased by $39.4 million during the six months ended October 1, 2016, as compared to the six months ended September 26, 2015 primarily due to $61.0 million of cash used to repurchase shares during the prior year period. This decrease was partially offset by $19.0 million of Term Loan repayments during the six months ended October 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incurred significant losses on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six months ended October 1, 2016, approximately 41%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Canadian Dollars, and Mexican Pesos.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Canadian Dollars and Mexican Pesos,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to be Implemented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(Topic 606)</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No. 2014-09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No. 2014-09 will be effective for annual reporting periods beginning after December 15, 2017, including interim periods within those reporting periods. Early adoption is permitted for annual reporting periods beginning after December 15, 2016, including interim reporting periods within that reporting period. The impact of adopting ASU No.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2014-09 on our financial position and results of operations is being assessed by management.</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The purpose of ASU No. 2016-08 is to clarify the guidance on principal versus agent considerations. It includes indicators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help to determine whether an entity controls the specified good or service before it is transferred to the customer and to assist in determining when the entity satisfied the performance obligation and as such, whether to recognize a gross or a net amount of consideration in their consolidated statement of operations. The effective date and transition requirements are consistent with ASU No. 2014-09. The impact of adopting ASU No. 2016-08 on our financial position and results of operations is being assessed by management.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The guidance clarifies that entities are not required to assess whether promised goods or services are performance obligations if they are immaterial in the context of the contract. ASU No. 2016-10 also addresses how to determine whether promised goods or services are separately identifiable and permits entities to make a policy election to treat shipping and handling costs as fulfillment activities. In addition, it clarifies key provisions in Topic 606 related to licensing. The effective date and transition requirements are consistent with ASU No. 2014-09. The impact of adopting ASU No. 2016-10 on our financial position and results of operations is being assessed by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Recent Accounting Pronouncements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ASU No. 2014-15 defines management's responsibility to assess an entity's ability to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and to provide related footnote disclosures in certain circumstances. This guidance will be effective for all entities in the first annual period ending after December 15, 2016; however, early adoption is permitted. Management does not believe that the adoption of ASU No. 2014-15 will have a material effect on our financial position or results of operations.</w:t>
      </w:r>
    </w:p>
    <w:p>
      <w:pPr>
        <w:spacing w:after="0" w:line="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and Financial Liabilities</w:t>
      </w:r>
      <w:r>
        <w:rPr>
          <w:rFonts w:ascii="Arial" w:cs="Arial" w:eastAsia="Arial" w:hAnsi="Arial"/>
          <w:sz w:val="16"/>
          <w:szCs w:val="16"/>
          <w:color w:val="auto"/>
        </w:rPr>
        <w:t>. ASU No. 2016-01 requires entities to measure equity investments that do not result in consolidation and are not accounted for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method at fair value with changes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It also simplifies the impairment assessment of equity investments without readily determinable fair values by requiring a qualitative assessment to identify impairment. ASU No. 2016-01 also requires separate presentation of financial assets and financial liabilities by measurement category and form of financial asset and liability. ASU No. 2016-01 is effective for fiscal years beginning after December 15, 2017, including interim periods within those fiscal years. Early adoption of certain provisions is permitted. Management does not believe that the adoption of ASU No. 2016-01 will have a material effect on our financial position or results of operations.</w:t>
      </w:r>
    </w:p>
    <w:p>
      <w:pPr>
        <w:spacing w:after="0" w:line="7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No. 2016-02 is intended to increase the transparency and comparability among organizations by recognizing lease asset and lease liabilities on the balance sheet, including those previously classified as operating leases under current U.S. GAAP, and disclosing key information about leasing arrangements. ASU No. 2016-02 is effective for fiscal years beginning after December 15, 2018, including interim periods within those fiscal years. Earlier adoption is permitted. The impact of adopting ASU No. 2016-02 on our financial position and results of operations is being assessed by management.</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purpose of the update is to simplify several areas of the accounting for share-based payment transactions, including the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consequences, classification of awards as either equity or liabilities, and classification on the statement of cash flows. ASU No. 2016-09 is effective for annual reporting periods after December 15, 2016, including interim periods within those fiscal periods. Early adoption is permitted. The impact of adopting ASU No. 2016-09 on our financial position and results of operations is being assessed by management.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w:t>
      </w:r>
    </w:p>
    <w:p>
      <w:pPr>
        <w:spacing w:after="0" w:line="16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These forward-looking statements, like any forward-looking statements, involve risks and uncertainties that could cause actual results to differ materially from those projected or anticipated, including: demand for whole blood and blood components, changes in executive management, changes in operations from restructuring and turnaround plans, asset revaluations to reflect current business conditions, technological advances in the medical field and standards for transfusion medicine and our ability to successfully implement products that incorporate such advances and standards, product quality, market acceptance,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ind w:right="40"/>
        <w:spacing w:after="0" w:line="257" w:lineRule="auto"/>
        <w:rPr>
          <w:sz w:val="20"/>
          <w:szCs w:val="20"/>
          <w:color w:val="auto"/>
        </w:rPr>
      </w:pPr>
      <w:r>
        <w:rPr>
          <w:rFonts w:ascii="Arial" w:cs="Arial" w:eastAsia="Arial" w:hAnsi="Arial"/>
          <w:sz w:val="18"/>
          <w:szCs w:val="18"/>
          <w:color w:val="auto"/>
        </w:rPr>
        <w:t>regulatory uncertainties, including the receipt or timing of regulatory approvals,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other risks detailed under Item 1A. Risk Factors included in this report. The foregoing list should not be construed as exhaustive.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mitigate,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 We estimate the change in the fair value of all forward contracts assuming both a 10% strengthening and weakening of the U.S. Dollar relative to all other major currencies. In the event of a 10% strengthening or weakening of the U.S. Dollar, the change in fair value of all forward contracts would result in a $5.8 million impact in the fair value of the forward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October 1, 2016 was $389.0 million with an interest rate of 1.9% based on prevailing LIBOR rates. An increase of 100 basis points in LIBOR rates would result in additional annual interest expense of $3.9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an evaluation, as of October 1, 2016,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Because the material weakness in our internal control over financial reporting related to accounting for income taxes that existed as of April 2, 2016 has not yet been fully remediated, the Chief Executive Officer and Chief Financial Officer concluded that our disclosure controls and procedures are not effective as of October 1, 2016. We have advised our audit committee of this deficiency in our internal control over financial reporting, and the fact that this deficiency constitutes a "material weakness."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material weakness in internal control over financial reporting is a deficiency, or a combination of deficiencies, in internal control over financial reporting, such that there is a reasonable possibility that a material misstatement of our annual or interim financial statements will not be prevented or detected on a timely basis by our internal controls.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such a material weakness was determined to exist, we performed additional procedures to ensure our consolidated financial statements included in this quarterly report on Form 10-Q are presented fairly, in all material respects, our financial position, results of operations and cash flows for the periods presented in conformity with accounting principles generally accepted in the United States.</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we continue to evaluate and work to improve our internal control over financial reporting, management may determine that it is necessary to take additional measures to address control deficiencies or may determine that it is necessary to modify the remediation plan described below. The operation of the control change will need to be observed for a period of time before management is able to conclude that the material weakness has been remediated. If not remediated, this material weakness could result in a material misstatement to our consolidated financial statements. Management continues to monitor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implementation of its remediation plan and timetable and believes the efforts described below will effectively remediate the material weaknesses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are undertaking steps to strengthen our controls over accounting for income taxes, including:</w:t>
      </w:r>
    </w:p>
    <w:p>
      <w:pPr>
        <w:spacing w:after="0" w:line="13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oversight by our management in the calculation and reporting of certain tax balances of our non-U.S.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Enhancing policies and procedures relating to account reconciliation and analysis;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Augmenting our tax accounting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communication to information providers for tax jurisdiction specific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Strengthening communication and information flows between the tax department and the controllers group.</w:t>
      </w:r>
    </w:p>
    <w:p>
      <w:pPr>
        <w:spacing w:after="0" w:line="33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Except as noted in the preceding paragraphs, there has not been any change in our system of internal control over financial reporting during the quarter ended October 1, 2016 that has materially affected, or is reasonably likely to materially affect,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68"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Employment Litigation</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Italian manufacturing subsidiary is party to several actions initiated by employees of the facility in Ascoli-Piceno, Italy where we have ceased manufacturing operations. These include actions claiming (i) working conditions and minimum salaries should have been established by either a different classification under their national collective bargaining agreement or a different agreement altogether,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their working clothes at the beginning and end of each shift.</w:t>
      </w:r>
    </w:p>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alleging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Finally, we have been added as defendants on claims filed against Pall Corporation prior to our acquisition of the plant in August 2012. These claims relate to agreements to "freeze" benefit allowances for a certain period in exchange for Pall's commitments on hiring and plant investment.</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October 1, 2016, the total amount of damages claimed by the plaintiffs in these matters is approximately $4.6 million. At this point in the proceedings, we believe the losses are unlikely and therefore no amounts have been accrued. In the future, we may receive other similar claims or adverse rulings from the courts which changes our judgment on these cases.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SOLX Arbitration</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July 2016, H2 Equity, LLC, formerly known as Hemerus Corporation, filed an arbitration claim for $17 million in milestone and royalty payments allegedly owed as part of our acquisition of the filter and storage solution business from Hemerus Medical, LLC ("Hemerus") in fiscal 2014. The acquired storage solution is referred to as SOLX.</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the closing in April 2013, Haemonetics paid Hemerus a total of $24 million and agreed to a $3 million milestone payment due when the U.S. Food and Drug Administration ("FDA") approved a new indication for SOLX (the “24-Hour Approval”), using a filter acquired from Hemerus. We also agreed to make future royalty payments up to a cumulative maximum of $14 million based on the sale of products incorporating SOLX over a ten year period.</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Due to performance issues with the Hemerus filter, Haemonetics filed for, and received, the 24-Hour Approval using a Haemonetics filter. Accordingly, Haemonetics did not pay Hemerus the $3 million milestone payment because the 24-Hour Approval was obtained using a Haemonetics filter, not a Hemerus filter. In addition, we have not paid any royalties to date as we have not made any commercial sales of products incorporating SOLX.</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H2 Equity claims, in part, that we owe them $3 million for the receipt of the 24-Hour Approval despite the use of a Haemonetics filter to obtain the approval and that we have failed to make commercially reasonable efforts to market and sell products incorporating SOLX. We believe that we have meritorious defenses to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It is not possible to accurately evaluate the likelihood or amount of any potential losses related to this claim and therefore no amounts have been accrued.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April 2, 2016, which could materially affect the Company's business, financial condition or future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72"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580"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2"/>
              </w:rPr>
              <w:t>Item 6. Exhibits</w:t>
            </w:r>
          </w:p>
        </w:tc>
        <w:tc>
          <w:tcPr>
            <w:tcW w:w="9960" w:type="dxa"/>
            <w:vAlign w:val="bottom"/>
          </w:tcPr>
          <w:p>
            <w:pPr>
              <w:spacing w:after="0"/>
              <w:rPr>
                <w:sz w:val="17"/>
                <w:szCs w:val="17"/>
                <w:color w:val="auto"/>
              </w:rPr>
            </w:pPr>
          </w:p>
        </w:tc>
      </w:tr>
      <w:tr>
        <w:trPr>
          <w:trHeight w:val="399"/>
        </w:trPr>
        <w:tc>
          <w:tcPr>
            <w:tcW w:w="600" w:type="dxa"/>
            <w:vAlign w:val="bottom"/>
          </w:tcPr>
          <w:p>
            <w:pPr>
              <w:ind w:left="40"/>
              <w:spacing w:after="0"/>
              <w:rPr>
                <w:sz w:val="20"/>
                <w:szCs w:val="20"/>
                <w:color w:val="auto"/>
              </w:rPr>
            </w:pPr>
            <w:r>
              <w:rPr>
                <w:rFonts w:ascii="Arial" w:cs="Arial" w:eastAsia="Arial" w:hAnsi="Arial"/>
                <w:sz w:val="18"/>
                <w:szCs w:val="18"/>
                <w:color w:val="auto"/>
              </w:rPr>
              <w:t>10.1</w:t>
            </w:r>
          </w:p>
        </w:tc>
        <w:tc>
          <w:tcPr>
            <w:tcW w:w="640" w:type="dxa"/>
            <w:vAlign w:val="bottom"/>
            <w:tcBorders>
              <w:top w:val="single" w:sz="8" w:color="auto"/>
            </w:tcBorders>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Amended and Restated 2007 Employee Stock Purchase Plan (as amended and restated on July 21, 2016).</w:t>
            </w:r>
          </w:p>
        </w:tc>
      </w:tr>
      <w:tr>
        <w:trPr>
          <w:trHeight w:val="810"/>
        </w:trPr>
        <w:tc>
          <w:tcPr>
            <w:tcW w:w="600" w:type="dxa"/>
            <w:vAlign w:val="bottom"/>
          </w:tcPr>
          <w:p>
            <w:pPr>
              <w:ind w:left="40"/>
              <w:spacing w:after="0"/>
              <w:rPr>
                <w:sz w:val="20"/>
                <w:szCs w:val="20"/>
                <w:color w:val="auto"/>
              </w:rPr>
            </w:pPr>
            <w:r>
              <w:rPr>
                <w:rFonts w:ascii="Arial" w:cs="Arial" w:eastAsia="Arial" w:hAnsi="Arial"/>
                <w:sz w:val="18"/>
                <w:szCs w:val="18"/>
                <w:color w:val="auto"/>
              </w:rPr>
              <w:t>10.2</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Haemonetics Corporation Worldwide Executive Bonus Plan as adopted on July 21, 2016.</w:t>
            </w:r>
          </w:p>
        </w:tc>
      </w:tr>
      <w:tr>
        <w:trPr>
          <w:trHeight w:val="796"/>
        </w:trPr>
        <w:tc>
          <w:tcPr>
            <w:tcW w:w="600" w:type="dxa"/>
            <w:vAlign w:val="bottom"/>
          </w:tcPr>
          <w:p>
            <w:pPr>
              <w:ind w:left="40"/>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w w:val="91"/>
              </w:rPr>
              <w:t>Certification pursuant to Section 302 of Sarbanes-Oxley Act of 2002, of Christopher Simon, President and Chief Executive Officer of the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w w:val="92"/>
              </w:rPr>
              <w:t>Certification pursuant to Section 302 of Sarbanes-Oxley of 2002, of William Burke, Executive Vice President, Chief Financial Officer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w w:val="90"/>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Christopher Simon, President and Chief Executive Officer of the Company</w:t>
            </w:r>
          </w:p>
        </w:tc>
      </w:tr>
      <w:tr>
        <w:trPr>
          <w:trHeight w:val="526"/>
        </w:trPr>
        <w:tc>
          <w:tcPr>
            <w:tcW w:w="600" w:type="dxa"/>
            <w:vAlign w:val="bottom"/>
          </w:tcPr>
          <w:p>
            <w:pPr>
              <w:ind w:left="40"/>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w w:val="90"/>
              </w:rPr>
              <w:t>Certification Pursuant to 18 United States Code Section 1350, as adopted Pursuant to Section 906 of the Sarbanes-Oxley Act of 2002, of</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William Burke, Executive Vice President, Chief Financial Officer of the Company</w:t>
            </w:r>
          </w:p>
        </w:tc>
      </w:tr>
      <w:tr>
        <w:trPr>
          <w:trHeight w:val="580"/>
        </w:trPr>
        <w:tc>
          <w:tcPr>
            <w:tcW w:w="600" w:type="dxa"/>
            <w:vAlign w:val="bottom"/>
          </w:tcPr>
          <w:p>
            <w:pPr>
              <w:ind w:left="40"/>
              <w:spacing w:after="0"/>
              <w:rPr>
                <w:sz w:val="20"/>
                <w:szCs w:val="20"/>
                <w:color w:val="auto"/>
              </w:rPr>
            </w:pPr>
            <w:r>
              <w:rPr>
                <w:rFonts w:ascii="Arial" w:cs="Arial" w:eastAsia="Arial" w:hAnsi="Arial"/>
                <w:sz w:val="18"/>
                <w:szCs w:val="18"/>
                <w:color w:val="auto"/>
              </w:rPr>
              <w:t>101*</w:t>
            </w:r>
          </w:p>
        </w:tc>
        <w:tc>
          <w:tcPr>
            <w:tcW w:w="6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w w:val="93"/>
              </w:rPr>
              <w:t>The following materials from Haemonetics Corporation on Form 10-Q for the quarter ended October 1, 2016, formatted in Extensible</w:t>
            </w:r>
          </w:p>
        </w:tc>
      </w:tr>
      <w:tr>
        <w:trPr>
          <w:trHeight w:val="216"/>
        </w:trPr>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w w:val="93"/>
              </w:rPr>
              <w:t>Business Reporting Language (XBRL); (i) Consolidated Statements of Income and Comprehensive Income, (ii) Consolidated Balance</w:t>
            </w: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line="26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81" w:lineRule="exact"/>
        <w:rPr>
          <w:sz w:val="20"/>
          <w:szCs w:val="20"/>
          <w:color w:val="auto"/>
        </w:rPr>
      </w:pPr>
    </w:p>
    <w:p>
      <w:pPr>
        <w:ind w:left="5620" w:right="4500" w:hanging="5585"/>
        <w:spacing w:after="0" w:line="350" w:lineRule="auto"/>
        <w:tabs>
          <w:tab w:leader="none" w:pos="720" w:val="left"/>
        </w:tabs>
        <w:numPr>
          <w:ilvl w:val="0"/>
          <w:numId w:val="15"/>
        </w:numPr>
        <w:rPr>
          <w:rFonts w:ascii="Arial" w:cs="Arial" w:eastAsia="Arial" w:hAnsi="Arial"/>
          <w:sz w:val="36"/>
          <w:szCs w:val="36"/>
          <w:color w:val="auto"/>
          <w:vertAlign w:val="superscript"/>
        </w:rPr>
      </w:pPr>
      <w:r>
        <w:rPr>
          <w:rFonts w:ascii="Arial" w:cs="Arial" w:eastAsia="Arial" w:hAnsi="Arial"/>
          <w:sz w:val="18"/>
          <w:szCs w:val="18"/>
          <w:color w:val="auto"/>
        </w:rPr>
        <w:t>Agreement, plan, or arrangement related to the compensation of officers or directors 34</w:t>
      </w:r>
    </w:p>
    <w:p>
      <w:pPr>
        <w:sectPr>
          <w:pgSz w:w="11900" w:h="16838" w:orient="portrait"/>
          <w:cols w:equalWidth="0" w:num="1">
            <w:col w:w="11300"/>
          </w:cols>
          <w:pgMar w:left="240" w:top="351" w:right="359"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11/7/2016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Christopher Simon,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240" w:val="left"/>
          <w:tab w:leader="none" w:pos="4820" w:val="left"/>
        </w:tabs>
        <w:rPr>
          <w:sz w:val="20"/>
          <w:szCs w:val="20"/>
          <w:color w:val="auto"/>
        </w:rPr>
      </w:pPr>
      <w:r>
        <w:rPr>
          <w:rFonts w:ascii="Arial" w:cs="Arial" w:eastAsia="Arial" w:hAnsi="Arial"/>
          <w:sz w:val="18"/>
          <w:szCs w:val="18"/>
          <w:color w:val="auto"/>
        </w:rPr>
        <w:t>11/7/2016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William Burke, Executive Vice President, Chief Financial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Officer</w:t>
      </w:r>
    </w:p>
    <w:p>
      <w:pPr>
        <w:spacing w:after="0" w:line="49"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364" w:right="3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Simon, certify that:</w:t>
      </w:r>
    </w:p>
    <w:p>
      <w:pPr>
        <w:spacing w:after="0" w:line="11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11/7/2016</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Simon,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William Burke, certify that:</w:t>
      </w:r>
    </w:p>
    <w:p>
      <w:pPr>
        <w:spacing w:after="0" w:line="1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11/7/2016</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William Burke, Executive Vice President, Chief Financial Officer</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October 1, 2016 as filed with the Securities and Exchange Commission on the date hereof (the “Report”), I, Christopher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11/7/2016</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Simon,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October 1, 2016 as filed with the Securities and Exchange Commission on the date hereof (the “Report”), I, William Burke,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11/7/2016</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William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Burke,</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835"/>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2019-12-29T09:26:54Z</dcterms:created>
  <dcterms:modified xsi:type="dcterms:W3CDTF">2019-12-29T09:26:54Z</dcterms:modified>
</cp:coreProperties>
</file>