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April 27, 2026</w:t>
      </w: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HAEMONETICS CORPORATION</w:t>
      </w:r>
    </w:p>
    <w:p>
      <w:pPr>
        <w:sectPr>
          <w:pgSz w:w="11900" w:h="16838" w:orient="portrait"/>
          <w:cols w:equalWidth="0" w:num="1">
            <w:col w:w="10620"/>
          </w:cols>
          <w:pgMar w:left="620" w:top="983" w:right="659" w:bottom="1440" w:gutter="0" w:footer="0" w:header="0"/>
        </w:sectPr>
      </w:pPr>
    </w:p>
    <w:p>
      <w:pPr>
        <w:spacing w:after="0" w:line="29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6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3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001-14041</w:t>
      </w:r>
    </w:p>
    <w:p>
      <w:pPr>
        <w:spacing w:after="0" w:line="3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 Summer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781-848-7100</w:t>
      </w:r>
    </w:p>
    <w:p>
      <w:pPr>
        <w:spacing w:after="0" w:line="24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04-2882273</w:t>
      </w:r>
    </w:p>
    <w:p>
      <w:pPr>
        <w:spacing w:after="0" w:line="6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887" w:lineRule="exact"/>
        <w:rPr>
          <w:sz w:val="24"/>
          <w:szCs w:val="24"/>
          <w:color w:val="auto"/>
        </w:rPr>
      </w:pPr>
    </w:p>
    <w:p>
      <w:pPr>
        <w:sectPr>
          <w:pgSz w:w="11900" w:h="16838" w:orient="portrait"/>
          <w:cols w:equalWidth="0" w:num="3">
            <w:col w:w="2760" w:space="160"/>
            <w:col w:w="4800" w:space="420"/>
            <w:col w:w="2480"/>
          </w:cols>
          <w:pgMar w:left="620" w:top="983" w:right="659" w:bottom="1440" w:gutter="0" w:footer="0" w:header="0"/>
          <w:type w:val="continuous"/>
        </w:sectPr>
      </w:pPr>
    </w:p>
    <w:p>
      <w:pPr>
        <w:ind w:left="60" w:right="300"/>
        <w:spacing w:after="0"/>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 (see General Instruction A.2. below):</w:t>
      </w:r>
    </w:p>
    <w:p>
      <w:pPr>
        <w:spacing w:after="0" w:line="287" w:lineRule="exact"/>
        <w:rPr>
          <w:sz w:val="24"/>
          <w:szCs w:val="24"/>
          <w:color w:val="auto"/>
        </w:rPr>
      </w:pPr>
    </w:p>
    <w:p>
      <w:pPr>
        <w:ind w:left="460" w:hanging="313"/>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22"/>
          <w:szCs w:val="22"/>
          <w:color w:val="auto"/>
        </w:rPr>
      </w:pPr>
    </w:p>
    <w:p>
      <w:pPr>
        <w:ind w:left="460" w:hanging="313"/>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2" w:lineRule="exact"/>
        <w:rPr>
          <w:rFonts w:ascii="MS PGothic" w:cs="MS PGothic" w:eastAsia="MS PGothic" w:hAnsi="MS PGothic"/>
          <w:sz w:val="22"/>
          <w:szCs w:val="22"/>
          <w:color w:val="auto"/>
        </w:rPr>
      </w:pPr>
    </w:p>
    <w:p>
      <w:pPr>
        <w:ind w:left="460" w:hanging="313"/>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460" w:hanging="313"/>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86" w:lineRule="exact"/>
        <w:rPr>
          <w:sz w:val="24"/>
          <w:szCs w:val="24"/>
          <w:color w:val="auto"/>
        </w:rPr>
      </w:pPr>
    </w:p>
    <w:tbl>
      <w:tblPr>
        <w:tblLayout w:type="fixed"/>
        <w:tblInd w:w="50" w:type="dxa"/>
        <w:tblCellMar>
          <w:top w:w="0" w:type="dxa"/>
          <w:left w:w="0" w:type="dxa"/>
          <w:bottom w:w="0" w:type="dxa"/>
          <w:right w:w="0" w:type="dxa"/>
        </w:tblCellMar>
      </w:tblPr>
      <w:tr>
        <w:trPr>
          <w:trHeight w:val="270"/>
        </w:trPr>
        <w:tc>
          <w:tcPr>
            <w:tcW w:w="4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Name of each exchange on which registered</w:t>
            </w:r>
          </w:p>
        </w:tc>
      </w:tr>
      <w:tr>
        <w:trPr>
          <w:trHeight w:val="250"/>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Common stock, $.01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HAE</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New York Stock Exchange</w:t>
            </w:r>
          </w:p>
        </w:tc>
      </w:tr>
    </w:tbl>
    <w:p>
      <w:pPr>
        <w:spacing w:after="0" w:line="112" w:lineRule="exact"/>
        <w:rPr>
          <w:sz w:val="24"/>
          <w:szCs w:val="24"/>
          <w:color w:val="auto"/>
        </w:rPr>
      </w:pPr>
    </w:p>
    <w:p>
      <w:pPr>
        <w:ind w:right="240"/>
        <w:spacing w:after="0" w:line="233"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Emerging Growth Company</w:t>
      </w:r>
    </w:p>
    <w:p>
      <w:pPr>
        <w:spacing w:after="0" w:line="28"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332" w:lineRule="exact"/>
        <w:rPr>
          <w:sz w:val="24"/>
          <w:szCs w:val="24"/>
          <w:color w:val="auto"/>
        </w:rPr>
      </w:pPr>
    </w:p>
    <w:p>
      <w:pPr>
        <w:ind w:right="460"/>
        <w:spacing w:after="0" w:line="256"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-197485</wp:posOffset>
            </wp:positionH>
            <wp:positionV relativeFrom="paragraph">
              <wp:posOffset>1374140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620" w:top="983" w:right="659" w:bottom="1440" w:gutter="0" w:footer="0" w:header="0"/>
          <w:type w:val="continuous"/>
        </w:sectPr>
      </w:pPr>
    </w:p>
    <w:bookmarkStart w:id="1" w:name="page2"/>
    <w:bookmarkEnd w:id="1"/>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April 27, 2026, Charles J. Dockendorff informed Haemonetics Corporation (the “Company”) that he will not stand for re-election at the Company’s 2026 Annual Meeting of Shareholders (the “2026 Annual Meeting”). Mr. Dockendorff has served as a member of the Board of Directors (the “Board”) of the Company since 2014 and currently serves as a member of the Audit Committee and the Governance and Compliance Committee. Mr. Dockendorff will continue to serve as a director and in his committee roles until the 2026 Annual Meeting. Mr. Dockendorff’s decision not to stand for re-election at the 2026 Annual Meeting is not the result of any disagreement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39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340" w:type="dxa"/>
            <w:vAlign w:val="bottom"/>
          </w:tcPr>
          <w:p>
            <w:pPr>
              <w:spacing w:after="0"/>
              <w:rPr>
                <w:sz w:val="22"/>
                <w:szCs w:val="22"/>
                <w:color w:val="auto"/>
              </w:rPr>
            </w:pPr>
          </w:p>
        </w:tc>
        <w:tc>
          <w:tcPr>
            <w:tcW w:w="5660" w:type="dxa"/>
            <w:vAlign w:val="bottom"/>
            <w:gridSpan w:val="2"/>
          </w:tcPr>
          <w:p>
            <w:pPr>
              <w:ind w:left="1320"/>
              <w:spacing w:after="0"/>
              <w:rPr>
                <w:sz w:val="20"/>
                <w:szCs w:val="20"/>
                <w:color w:val="auto"/>
              </w:rPr>
            </w:pPr>
            <w:r>
              <w:rPr>
                <w:rFonts w:ascii="Times New Roman" w:cs="Times New Roman" w:eastAsia="Times New Roman" w:hAnsi="Times New Roman"/>
                <w:sz w:val="20"/>
                <w:szCs w:val="20"/>
                <w:b w:val="1"/>
                <w:bCs w:val="1"/>
                <w:color w:val="auto"/>
              </w:rPr>
              <w:t>HAEMONETICS CORPORATION</w:t>
            </w:r>
          </w:p>
        </w:tc>
      </w:tr>
      <w:tr>
        <w:trPr>
          <w:trHeight w:val="528"/>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May 1, 2026</w:t>
            </w:r>
          </w:p>
        </w:tc>
        <w:tc>
          <w:tcPr>
            <w:tcW w:w="210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Christopher A. Simon</w:t>
            </w:r>
          </w:p>
        </w:tc>
      </w:tr>
      <w:tr>
        <w:trPr>
          <w:trHeight w:val="247"/>
        </w:trPr>
        <w:tc>
          <w:tcPr>
            <w:tcW w:w="2340" w:type="dxa"/>
            <w:vAlign w:val="bottom"/>
          </w:tcPr>
          <w:p>
            <w:pPr>
              <w:spacing w:after="0"/>
              <w:rPr>
                <w:sz w:val="21"/>
                <w:szCs w:val="21"/>
                <w:color w:val="auto"/>
              </w:rPr>
            </w:pPr>
          </w:p>
        </w:tc>
        <w:tc>
          <w:tcPr>
            <w:tcW w:w="210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Name:</w:t>
            </w:r>
          </w:p>
        </w:tc>
        <w:tc>
          <w:tcPr>
            <w:tcW w:w="35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Christopher A. Simon</w:t>
            </w:r>
          </w:p>
        </w:tc>
      </w:tr>
      <w:tr>
        <w:trPr>
          <w:trHeight w:val="258"/>
        </w:trPr>
        <w:tc>
          <w:tcPr>
            <w:tcW w:w="2340" w:type="dxa"/>
            <w:vAlign w:val="bottom"/>
          </w:tcPr>
          <w:p>
            <w:pPr>
              <w:spacing w:after="0"/>
              <w:rPr>
                <w:sz w:val="22"/>
                <w:szCs w:val="22"/>
                <w:color w:val="auto"/>
              </w:rPr>
            </w:pPr>
          </w:p>
        </w:tc>
        <w:tc>
          <w:tcPr>
            <w:tcW w:w="210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Title:</w:t>
            </w:r>
          </w:p>
        </w:tc>
        <w:tc>
          <w:tcPr>
            <w:tcW w:w="35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pacing w:after="0" w:line="1" w:lineRule="exact"/>
        <w:rPr>
          <w:sz w:val="20"/>
          <w:szCs w:val="20"/>
          <w:color w:val="auto"/>
        </w:rPr>
      </w:pPr>
    </w:p>
    <w:sectPr>
      <w:pgSz w:w="11900" w:h="16838" w:orient="portrait"/>
      <w:cols w:equalWidth="0" w:num="1">
        <w:col w:w="10840"/>
      </w:cols>
      <w:pgMar w:left="320" w:top="1125"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2026-05-01T15:28:45Z</dcterms:created>
  <dcterms:modified xsi:type="dcterms:W3CDTF">2026-05-01T15:28:45Z</dcterms:modified>
</cp:coreProperties>
</file>